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6A06B" w14:textId="6CDFD73C" w:rsidR="00B64A9A" w:rsidRDefault="00B64A9A" w:rsidP="008D2E84">
      <w:pPr>
        <w:spacing w:line="240" w:lineRule="auto"/>
        <w:jc w:val="center"/>
        <w:rPr>
          <w:rFonts w:ascii="Aptos" w:hAnsi="Aptos" w:cs="Arial"/>
          <w:b/>
          <w:bCs/>
        </w:rPr>
      </w:pPr>
      <w:r>
        <w:rPr>
          <w:rFonts w:ascii="Aptos" w:hAnsi="Aptos" w:cs="Arial"/>
          <w:b/>
          <w:bCs/>
        </w:rPr>
        <w:t>Final report</w:t>
      </w:r>
    </w:p>
    <w:p w14:paraId="3E25D9ED" w14:textId="56F77028" w:rsidR="00E56AC0" w:rsidRPr="00C61D5D" w:rsidRDefault="00E56AC0" w:rsidP="008D2E84">
      <w:pPr>
        <w:spacing w:line="240" w:lineRule="auto"/>
        <w:rPr>
          <w:rFonts w:ascii="Aptos" w:hAnsi="Aptos" w:cs="Arial"/>
          <w:b/>
          <w:bCs/>
        </w:rPr>
      </w:pPr>
      <w:r w:rsidRPr="00C61D5D">
        <w:rPr>
          <w:rFonts w:ascii="Aptos" w:hAnsi="Aptos" w:cs="Arial"/>
          <w:b/>
          <w:bCs/>
        </w:rPr>
        <w:t>Project organi</w:t>
      </w:r>
      <w:r w:rsidR="002E637F">
        <w:rPr>
          <w:rFonts w:ascii="Aptos" w:hAnsi="Aptos" w:cs="Arial"/>
          <w:b/>
          <w:bCs/>
        </w:rPr>
        <w:t>z</w:t>
      </w:r>
      <w:r w:rsidRPr="00C61D5D">
        <w:rPr>
          <w:rFonts w:ascii="Aptos" w:hAnsi="Aptos" w:cs="Arial"/>
          <w:b/>
          <w:bCs/>
        </w:rPr>
        <w:t xml:space="preserve">er: </w:t>
      </w:r>
    </w:p>
    <w:p w14:paraId="4D262826" w14:textId="77777777" w:rsidR="00E56AC0" w:rsidRPr="00C61D5D" w:rsidRDefault="00E56AC0" w:rsidP="008D2E84">
      <w:pPr>
        <w:spacing w:line="240" w:lineRule="auto"/>
        <w:rPr>
          <w:rFonts w:ascii="Aptos" w:hAnsi="Aptos" w:cs="Arial"/>
        </w:rPr>
      </w:pPr>
      <w:r w:rsidRPr="00C61D5D">
        <w:rPr>
          <w:rFonts w:ascii="Aptos" w:hAnsi="Aptos" w:cs="Arial"/>
        </w:rPr>
        <w:t>Nezávislé kresťanské odbory Slovenska (NKOS), Štefanikova 46, 91701 Trnava, Slovakia</w:t>
      </w:r>
    </w:p>
    <w:p w14:paraId="45E22B0E" w14:textId="70D2B381" w:rsidR="00E56AC0" w:rsidRPr="002E637F" w:rsidRDefault="00E56AC0" w:rsidP="008D2E84">
      <w:pPr>
        <w:spacing w:line="240" w:lineRule="auto"/>
        <w:rPr>
          <w:rFonts w:ascii="Aptos" w:hAnsi="Aptos" w:cs="Arial"/>
        </w:rPr>
      </w:pPr>
      <w:r w:rsidRPr="00C61D5D">
        <w:rPr>
          <w:rFonts w:ascii="Aptos" w:hAnsi="Aptos" w:cs="Arial"/>
          <w:b/>
          <w:bCs/>
        </w:rPr>
        <w:t xml:space="preserve">Subject/Title: </w:t>
      </w:r>
      <w:r w:rsidR="002E637F" w:rsidRPr="002E637F">
        <w:rPr>
          <w:rFonts w:ascii="Aptos" w:hAnsi="Aptos" w:cs="Arial"/>
          <w:lang w:val="sk-SK"/>
        </w:rPr>
        <w:t>Safety and protection of soft targets in organizations. New forms of risk for workers.</w:t>
      </w:r>
    </w:p>
    <w:p w14:paraId="109A9D18" w14:textId="77777777" w:rsidR="00E56AC0" w:rsidRPr="00C61D5D" w:rsidRDefault="00E56AC0" w:rsidP="008D2E84">
      <w:pPr>
        <w:tabs>
          <w:tab w:val="right" w:pos="360"/>
        </w:tabs>
        <w:spacing w:after="240" w:line="240" w:lineRule="auto"/>
        <w:rPr>
          <w:rFonts w:ascii="Aptos" w:hAnsi="Aptos" w:cs="Arial"/>
        </w:rPr>
      </w:pPr>
      <w:r w:rsidRPr="00C61D5D">
        <w:rPr>
          <w:rFonts w:ascii="Aptos" w:hAnsi="Aptos" w:cs="Arial"/>
          <w:b/>
          <w:bCs/>
          <w:iCs/>
        </w:rPr>
        <w:t>Venue</w:t>
      </w:r>
      <w:r w:rsidRPr="00C61D5D">
        <w:rPr>
          <w:rFonts w:ascii="Aptos" w:hAnsi="Aptos" w:cs="Arial"/>
          <w:b/>
          <w:bCs/>
          <w:i/>
        </w:rPr>
        <w:t>:</w:t>
      </w:r>
      <w:r w:rsidRPr="00C61D5D">
        <w:rPr>
          <w:rFonts w:ascii="Aptos" w:hAnsi="Aptos" w:cs="Arial"/>
          <w:i/>
        </w:rPr>
        <w:t xml:space="preserve">  </w:t>
      </w:r>
      <w:r w:rsidRPr="00C61D5D">
        <w:rPr>
          <w:rFonts w:ascii="Aptos" w:hAnsi="Aptos" w:cs="Arial"/>
        </w:rPr>
        <w:t>Catholic University in the main hall, 3</w:t>
      </w:r>
      <w:r w:rsidRPr="00C61D5D">
        <w:rPr>
          <w:rFonts w:ascii="Aptos" w:hAnsi="Aptos" w:cs="Arial"/>
          <w:vertAlign w:val="superscript"/>
        </w:rPr>
        <w:t>th</w:t>
      </w:r>
      <w:r w:rsidRPr="00C61D5D">
        <w:rPr>
          <w:rFonts w:ascii="Aptos" w:hAnsi="Aptos" w:cs="Arial"/>
        </w:rPr>
        <w:t xml:space="preserve"> floor, Hrabovská cesta 1, 034 01 Ružomberok,</w:t>
      </w:r>
    </w:p>
    <w:p w14:paraId="16894F81" w14:textId="2598DB03" w:rsidR="00E56AC0" w:rsidRPr="00C61D5D" w:rsidRDefault="00E56AC0" w:rsidP="008D2E84">
      <w:pPr>
        <w:tabs>
          <w:tab w:val="right" w:pos="360"/>
        </w:tabs>
        <w:spacing w:after="240" w:line="240" w:lineRule="auto"/>
        <w:rPr>
          <w:rFonts w:ascii="Aptos" w:hAnsi="Aptos" w:cs="Arial"/>
          <w:iCs/>
        </w:rPr>
      </w:pPr>
      <w:r w:rsidRPr="00C61D5D">
        <w:rPr>
          <w:rFonts w:ascii="Aptos" w:hAnsi="Aptos" w:cs="Arial"/>
          <w:b/>
          <w:bCs/>
          <w:iCs/>
        </w:rPr>
        <w:t>Date</w:t>
      </w:r>
      <w:r w:rsidRPr="00C61D5D">
        <w:rPr>
          <w:rFonts w:ascii="Aptos" w:hAnsi="Aptos" w:cs="Arial"/>
          <w:i/>
        </w:rPr>
        <w:t xml:space="preserve">: </w:t>
      </w:r>
      <w:r w:rsidRPr="00C61D5D">
        <w:rPr>
          <w:rFonts w:ascii="Aptos" w:hAnsi="Aptos" w:cs="Arial"/>
          <w:iCs/>
        </w:rPr>
        <w:t xml:space="preserve">June </w:t>
      </w:r>
      <w:r w:rsidR="002E637F">
        <w:rPr>
          <w:rFonts w:ascii="Aptos" w:hAnsi="Aptos" w:cs="Arial"/>
          <w:iCs/>
        </w:rPr>
        <w:t>11</w:t>
      </w:r>
      <w:r w:rsidRPr="00C61D5D">
        <w:rPr>
          <w:rFonts w:ascii="Aptos" w:hAnsi="Aptos" w:cs="Arial"/>
          <w:iCs/>
        </w:rPr>
        <w:t>, 202</w:t>
      </w:r>
      <w:r w:rsidR="002E637F">
        <w:rPr>
          <w:rFonts w:ascii="Aptos" w:hAnsi="Aptos" w:cs="Arial"/>
          <w:iCs/>
        </w:rPr>
        <w:t xml:space="preserve">6 </w:t>
      </w:r>
      <w:r w:rsidRPr="00C61D5D">
        <w:rPr>
          <w:rFonts w:ascii="Aptos" w:hAnsi="Aptos" w:cs="Arial"/>
          <w:iCs/>
        </w:rPr>
        <w:t>- June 1</w:t>
      </w:r>
      <w:r w:rsidR="002E637F">
        <w:rPr>
          <w:rFonts w:ascii="Aptos" w:hAnsi="Aptos" w:cs="Arial"/>
          <w:iCs/>
        </w:rPr>
        <w:t>2</w:t>
      </w:r>
      <w:r w:rsidRPr="00C61D5D">
        <w:rPr>
          <w:rFonts w:ascii="Aptos" w:hAnsi="Aptos" w:cs="Arial"/>
          <w:iCs/>
        </w:rPr>
        <w:t>, 202</w:t>
      </w:r>
      <w:r w:rsidR="002E637F">
        <w:rPr>
          <w:rFonts w:ascii="Aptos" w:hAnsi="Aptos" w:cs="Arial"/>
          <w:iCs/>
        </w:rPr>
        <w:t>6</w:t>
      </w:r>
    </w:p>
    <w:p w14:paraId="2CBBBAAB" w14:textId="77777777" w:rsidR="00E56AC0" w:rsidRPr="00C61D5D" w:rsidRDefault="00E56AC0" w:rsidP="008D2E84">
      <w:pPr>
        <w:tabs>
          <w:tab w:val="right" w:pos="360"/>
        </w:tabs>
        <w:spacing w:after="240" w:line="240" w:lineRule="auto"/>
        <w:rPr>
          <w:rFonts w:ascii="Aptos" w:hAnsi="Aptos" w:cs="Arial"/>
        </w:rPr>
      </w:pPr>
      <w:r w:rsidRPr="00C61D5D">
        <w:rPr>
          <w:rFonts w:ascii="Aptos" w:hAnsi="Aptos" w:cs="Arial"/>
          <w:b/>
          <w:bCs/>
          <w:iCs/>
        </w:rPr>
        <w:t xml:space="preserve">Accommodation of participants: </w:t>
      </w:r>
      <w:r w:rsidRPr="00C61D5D">
        <w:rPr>
          <w:rFonts w:ascii="Aptos" w:hAnsi="Aptos" w:cs="Arial"/>
        </w:rPr>
        <w:t>Hotel Kultúra, A. Bernoláka 1, 034 01 Ružomberok, Pension Blesk Vajanského 9, 034 01 Ružomberok, Fatrapark 2 Hrabovska dolina 5386/22, Ružomberok</w:t>
      </w:r>
    </w:p>
    <w:p w14:paraId="26F9262B" w14:textId="38247B42" w:rsidR="00E56AC0" w:rsidRPr="00C61D5D" w:rsidRDefault="00E56AC0" w:rsidP="008D2E84">
      <w:pPr>
        <w:tabs>
          <w:tab w:val="left" w:pos="2835"/>
          <w:tab w:val="left" w:pos="4962"/>
          <w:tab w:val="right" w:pos="5245"/>
        </w:tabs>
        <w:spacing w:after="240" w:line="240" w:lineRule="auto"/>
        <w:rPr>
          <w:rFonts w:ascii="Aptos" w:hAnsi="Aptos" w:cs="Arial"/>
          <w:b/>
          <w:bCs/>
        </w:rPr>
      </w:pPr>
      <w:r w:rsidRPr="00C61D5D">
        <w:rPr>
          <w:rFonts w:ascii="Aptos" w:hAnsi="Aptos" w:cs="Arial"/>
          <w:b/>
          <w:bCs/>
          <w:iCs/>
        </w:rPr>
        <w:t>Project type</w:t>
      </w:r>
      <w:r w:rsidRPr="00C61D5D">
        <w:rPr>
          <w:rFonts w:ascii="Aptos" w:hAnsi="Aptos" w:cs="Arial"/>
          <w:i/>
        </w:rPr>
        <w:t>:</w:t>
      </w:r>
      <w:r w:rsidRPr="00C61D5D">
        <w:rPr>
          <w:rFonts w:ascii="Aptos" w:hAnsi="Aptos" w:cs="Arial"/>
        </w:rPr>
        <w:t xml:space="preserve">  Seminar</w:t>
      </w:r>
      <w:r w:rsidR="0054719F">
        <w:rPr>
          <w:rFonts w:ascii="Aptos" w:hAnsi="Aptos" w:cs="Arial"/>
        </w:rPr>
        <w:t xml:space="preserve">   </w:t>
      </w:r>
      <w:r w:rsidRPr="00C61D5D">
        <w:rPr>
          <w:rFonts w:ascii="Aptos" w:hAnsi="Aptos" w:cs="Arial"/>
          <w:b/>
          <w:bCs/>
        </w:rPr>
        <w:t xml:space="preserve">Project Nr.: </w:t>
      </w:r>
      <w:r w:rsidR="002E637F">
        <w:rPr>
          <w:rFonts w:ascii="Aptos" w:hAnsi="Aptos" w:cs="Arial"/>
          <w:b/>
          <w:bCs/>
        </w:rPr>
        <w:t>07-07-26-SE</w:t>
      </w:r>
    </w:p>
    <w:p w14:paraId="0BC5D34C" w14:textId="3C0E7B3A" w:rsidR="00973998" w:rsidRPr="00447D20" w:rsidRDefault="00973998" w:rsidP="008D2E84">
      <w:pPr>
        <w:spacing w:line="240" w:lineRule="auto"/>
        <w:jc w:val="both"/>
        <w:rPr>
          <w:rFonts w:ascii="Aptos" w:hAnsi="Aptos"/>
          <w:b/>
          <w:bCs/>
        </w:rPr>
      </w:pPr>
      <w:r w:rsidRPr="00447D20">
        <w:rPr>
          <w:rFonts w:ascii="Aptos" w:hAnsi="Aptos"/>
          <w:b/>
          <w:bCs/>
        </w:rPr>
        <w:t>The Main Focus and Most Critical Aspects of the Seminar</w:t>
      </w:r>
    </w:p>
    <w:p w14:paraId="36E6DEF1" w14:textId="072AB09B" w:rsidR="00C0453D" w:rsidRPr="00447D20" w:rsidRDefault="00C0453D" w:rsidP="008D2E84">
      <w:pPr>
        <w:spacing w:line="240" w:lineRule="auto"/>
        <w:jc w:val="both"/>
        <w:rPr>
          <w:rFonts w:ascii="Aptos" w:hAnsi="Aptos"/>
        </w:rPr>
      </w:pPr>
      <w:r w:rsidRPr="00447D20">
        <w:rPr>
          <w:rFonts w:ascii="Aptos" w:hAnsi="Aptos"/>
        </w:rPr>
        <w:t>The main benefit of the seminar was connecting theory with practice in protecting "soft targets," such as schools or public offices, from aggression and emerging workplace threats. Participants did not just discuss the issues; during a visit to the highly secured MONDI SCP industrial facility, they witnessed real-world safety and security management firsthand. This allowed them to explore ways to adapt these professional procedures and security cultures into school and public environments.</w:t>
      </w:r>
    </w:p>
    <w:p w14:paraId="52038FC1" w14:textId="77777777" w:rsidR="00C0453D" w:rsidRPr="00447D20" w:rsidRDefault="00C0453D" w:rsidP="008D2E84">
      <w:pPr>
        <w:spacing w:line="240" w:lineRule="auto"/>
        <w:jc w:val="both"/>
        <w:rPr>
          <w:rFonts w:ascii="Aptos" w:hAnsi="Aptos"/>
        </w:rPr>
      </w:pPr>
      <w:r w:rsidRPr="00447D20">
        <w:rPr>
          <w:rFonts w:ascii="Aptos" w:hAnsi="Aptos"/>
        </w:rPr>
        <w:t>The seminar program equipped employees with highly practical skills. They learned how to handle aggression, survive an active shooter attack, technologically secure a workplace, and administer first aid.</w:t>
      </w:r>
    </w:p>
    <w:p w14:paraId="6DAEAE89" w14:textId="77777777" w:rsidR="00C0453D" w:rsidRPr="00447D20" w:rsidRDefault="00C0453D" w:rsidP="008D2E84">
      <w:pPr>
        <w:spacing w:line="240" w:lineRule="auto"/>
        <w:jc w:val="both"/>
        <w:rPr>
          <w:rFonts w:ascii="Aptos" w:hAnsi="Aptos"/>
        </w:rPr>
      </w:pPr>
      <w:r w:rsidRPr="00447D20">
        <w:rPr>
          <w:rFonts w:ascii="Aptos" w:hAnsi="Aptos"/>
        </w:rPr>
        <w:t>Social dialogue also played an important role. Union representatives from several countries gained the knowledge and tools needed to actively create crisis plans and champion health and safety as a priority during collective bargaining. Ultimately, the entire seminar successfully turned expert theory into concrete guidelines that schools and organizations can immediately use to better protect their staff and students.</w:t>
      </w:r>
    </w:p>
    <w:p w14:paraId="21A88B79" w14:textId="77777777" w:rsidR="00973998" w:rsidRPr="00447D20" w:rsidRDefault="00973998" w:rsidP="008D2E84">
      <w:pPr>
        <w:spacing w:line="240" w:lineRule="auto"/>
        <w:jc w:val="both"/>
        <w:rPr>
          <w:rFonts w:ascii="Aptos" w:hAnsi="Aptos"/>
          <w:b/>
          <w:bCs/>
        </w:rPr>
      </w:pPr>
      <w:r w:rsidRPr="00447D20">
        <w:rPr>
          <w:rFonts w:ascii="Aptos" w:hAnsi="Aptos"/>
          <w:b/>
          <w:bCs/>
        </w:rPr>
        <w:t>Strategic Timing and the Need for Immediate Action</w:t>
      </w:r>
    </w:p>
    <w:p w14:paraId="558183FB" w14:textId="09807F83" w:rsidR="00C0453D" w:rsidRPr="00447D20" w:rsidRDefault="00C0453D" w:rsidP="008D2E84">
      <w:pPr>
        <w:spacing w:line="240" w:lineRule="auto"/>
        <w:jc w:val="both"/>
        <w:rPr>
          <w:rFonts w:ascii="Aptos" w:hAnsi="Aptos"/>
        </w:rPr>
      </w:pPr>
      <w:r w:rsidRPr="00447D20">
        <w:rPr>
          <w:rFonts w:ascii="Aptos" w:hAnsi="Aptos"/>
        </w:rPr>
        <w:t>The seminar was uniquely important at this time as it responded to an ongoing European trend: an alarming rise in aggression, physical and psychological violence, and attacks targeting employees in education, healthcare, and social services. In an era when schools and public institutions are becoming increasingly vulnerable to new risks—ranging from extremism to active shooter threats—protecting these "soft targets" has become an urgent societal priority. This growing pressure demands immediate, robust, and proactive solutions that cannot be delayed.</w:t>
      </w:r>
    </w:p>
    <w:p w14:paraId="64B10D59" w14:textId="77777777" w:rsidR="00C0453D" w:rsidRPr="00447D20" w:rsidRDefault="00C0453D" w:rsidP="008D2E84">
      <w:pPr>
        <w:spacing w:line="240" w:lineRule="auto"/>
        <w:jc w:val="both"/>
        <w:rPr>
          <w:rFonts w:ascii="Aptos" w:hAnsi="Aptos"/>
        </w:rPr>
      </w:pPr>
      <w:r w:rsidRPr="00447D20">
        <w:rPr>
          <w:rFonts w:ascii="Aptos" w:hAnsi="Aptos"/>
        </w:rPr>
        <w:t>For this reason, the timing of the seminar was crucial. It provided social partners and employee representatives with tangible tools, legislative frameworks, and practical crisis protocols at a moment when European security policies must be swiftly translated into real-world practice within individual schools and organizations. Ultimately, the event filled a critical gap in preparing workers to handle real crisis situations, immediately strengthening their safety and security in today's digital and post-pandemic landscape.</w:t>
      </w:r>
    </w:p>
    <w:p w14:paraId="70C4610C" w14:textId="77777777" w:rsidR="00973998" w:rsidRDefault="00973998" w:rsidP="008D2E84">
      <w:pPr>
        <w:spacing w:line="240" w:lineRule="auto"/>
        <w:jc w:val="both"/>
        <w:rPr>
          <w:rFonts w:ascii="Aptos" w:hAnsi="Aptos"/>
          <w:b/>
          <w:bCs/>
        </w:rPr>
      </w:pPr>
      <w:r w:rsidRPr="00447D20">
        <w:rPr>
          <w:rFonts w:ascii="Aptos" w:hAnsi="Aptos"/>
          <w:b/>
          <w:bCs/>
        </w:rPr>
        <w:lastRenderedPageBreak/>
        <w:t>Overview of Attendance and Participating Countries</w:t>
      </w:r>
    </w:p>
    <w:p w14:paraId="263D8C94" w14:textId="3E96498D" w:rsidR="002E637F" w:rsidRPr="00C61D5D" w:rsidRDefault="002E637F" w:rsidP="008D2E84">
      <w:pPr>
        <w:spacing w:line="240" w:lineRule="auto"/>
        <w:jc w:val="both"/>
        <w:rPr>
          <w:rFonts w:ascii="Aptos" w:hAnsi="Aptos" w:cs="Arial"/>
        </w:rPr>
      </w:pPr>
      <w:r w:rsidRPr="00C61D5D">
        <w:rPr>
          <w:rFonts w:ascii="Aptos" w:hAnsi="Aptos" w:cs="Arial"/>
        </w:rPr>
        <w:t xml:space="preserve">Total number of participants: </w:t>
      </w:r>
      <w:r w:rsidR="00B64A9A">
        <w:rPr>
          <w:rFonts w:ascii="Aptos" w:hAnsi="Aptos" w:cs="Arial"/>
        </w:rPr>
        <w:t>4</w:t>
      </w:r>
      <w:r w:rsidR="008D2E84">
        <w:rPr>
          <w:rFonts w:ascii="Aptos" w:hAnsi="Aptos" w:cs="Arial"/>
        </w:rPr>
        <w:t>3</w:t>
      </w:r>
      <w:r w:rsidR="00515E89">
        <w:rPr>
          <w:rFonts w:ascii="Aptos" w:hAnsi="Aptos" w:cs="Arial"/>
        </w:rPr>
        <w:t xml:space="preserve"> </w:t>
      </w:r>
      <w:r w:rsidRPr="00C61D5D">
        <w:rPr>
          <w:rFonts w:ascii="Aptos" w:hAnsi="Aptos" w:cs="Arial"/>
        </w:rPr>
        <w:t xml:space="preserve">(personal), </w:t>
      </w:r>
      <w:r w:rsidR="00515E89">
        <w:rPr>
          <w:rFonts w:ascii="Aptos" w:hAnsi="Aptos" w:cs="Arial"/>
        </w:rPr>
        <w:t>1</w:t>
      </w:r>
      <w:r w:rsidR="008D2E84">
        <w:rPr>
          <w:rFonts w:ascii="Aptos" w:hAnsi="Aptos" w:cs="Arial"/>
        </w:rPr>
        <w:t>(</w:t>
      </w:r>
      <w:r w:rsidRPr="00C61D5D">
        <w:rPr>
          <w:rFonts w:ascii="Aptos" w:hAnsi="Aptos" w:cs="Arial"/>
        </w:rPr>
        <w:t>online foreign speaker</w:t>
      </w:r>
      <w:r w:rsidR="008D2E84">
        <w:rPr>
          <w:rFonts w:ascii="Aptos" w:hAnsi="Aptos" w:cs="Arial"/>
        </w:rPr>
        <w:t>)</w:t>
      </w:r>
      <w:r w:rsidRPr="00C61D5D">
        <w:rPr>
          <w:rFonts w:ascii="Aptos" w:hAnsi="Aptos" w:cs="Arial"/>
        </w:rPr>
        <w:t xml:space="preserve">, </w:t>
      </w:r>
      <w:r w:rsidR="00515E89">
        <w:rPr>
          <w:rFonts w:ascii="Aptos" w:hAnsi="Aptos" w:cs="Arial"/>
        </w:rPr>
        <w:t>6</w:t>
      </w:r>
      <w:r w:rsidRPr="00C61D5D">
        <w:rPr>
          <w:rFonts w:ascii="Aptos" w:hAnsi="Aptos" w:cs="Arial"/>
        </w:rPr>
        <w:t xml:space="preserve"> staff</w:t>
      </w:r>
      <w:r w:rsidR="00515E89">
        <w:rPr>
          <w:rFonts w:ascii="Aptos" w:hAnsi="Aptos" w:cs="Arial"/>
        </w:rPr>
        <w:t>, 4 guests</w:t>
      </w:r>
    </w:p>
    <w:p w14:paraId="2246C124" w14:textId="2B361DD2" w:rsidR="002E637F" w:rsidRDefault="00B64A9A" w:rsidP="008D2E84">
      <w:pPr>
        <w:spacing w:line="240" w:lineRule="auto"/>
        <w:jc w:val="both"/>
        <w:rPr>
          <w:rFonts w:ascii="Aptos" w:hAnsi="Aptos" w:cs="Arial"/>
        </w:rPr>
      </w:pPr>
      <w:r>
        <w:rPr>
          <w:rFonts w:ascii="Aptos" w:hAnsi="Aptos" w:cs="Arial"/>
        </w:rPr>
        <w:t>Foreign</w:t>
      </w:r>
      <w:r w:rsidR="002E637F" w:rsidRPr="00C61D5D">
        <w:rPr>
          <w:rFonts w:ascii="Aptos" w:hAnsi="Aptos" w:cs="Arial"/>
        </w:rPr>
        <w:t xml:space="preserve"> participants: </w:t>
      </w:r>
      <w:r>
        <w:rPr>
          <w:rFonts w:ascii="Aptos" w:hAnsi="Aptos" w:cs="Arial"/>
        </w:rPr>
        <w:t>2</w:t>
      </w:r>
      <w:r w:rsidR="008D2E84">
        <w:rPr>
          <w:rFonts w:ascii="Aptos" w:hAnsi="Aptos" w:cs="Arial"/>
        </w:rPr>
        <w:t>4</w:t>
      </w:r>
    </w:p>
    <w:tbl>
      <w:tblPr>
        <w:tblStyle w:val="Mriekatabuky"/>
        <w:tblpPr w:leftFromText="141" w:rightFromText="141" w:horzAnchor="margin" w:tblpXSpec="center" w:tblpY="684"/>
        <w:tblW w:w="0" w:type="auto"/>
        <w:tblLook w:val="04A0" w:firstRow="1" w:lastRow="0" w:firstColumn="1" w:lastColumn="0" w:noHBand="0" w:noVBand="1"/>
      </w:tblPr>
      <w:tblGrid>
        <w:gridCol w:w="595"/>
        <w:gridCol w:w="2400"/>
        <w:gridCol w:w="2529"/>
        <w:gridCol w:w="1701"/>
        <w:gridCol w:w="1837"/>
      </w:tblGrid>
      <w:tr w:rsidR="0054719F" w:rsidRPr="008D2E84" w14:paraId="17A411DB" w14:textId="77777777" w:rsidTr="0054719F">
        <w:tc>
          <w:tcPr>
            <w:tcW w:w="59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A99622C" w14:textId="77777777" w:rsidR="0054719F" w:rsidRPr="0054719F" w:rsidRDefault="0054719F" w:rsidP="00CD52F3">
            <w:pPr>
              <w:jc w:val="both"/>
              <w:rPr>
                <w:rFonts w:ascii="Aptos" w:hAnsi="Aptos"/>
                <w:sz w:val="22"/>
                <w:szCs w:val="22"/>
                <w:lang w:val="sk-SK"/>
              </w:rPr>
            </w:pPr>
            <w:r w:rsidRPr="0054719F">
              <w:rPr>
                <w:rFonts w:ascii="Aptos" w:hAnsi="Aptos"/>
                <w:sz w:val="22"/>
                <w:szCs w:val="22"/>
                <w:lang w:val="sk-SK"/>
              </w:rPr>
              <w:t>No.</w:t>
            </w:r>
          </w:p>
        </w:tc>
        <w:tc>
          <w:tcPr>
            <w:tcW w:w="240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95831F7" w14:textId="77777777" w:rsidR="0054719F" w:rsidRPr="0054719F" w:rsidRDefault="0054719F" w:rsidP="00CD52F3">
            <w:pPr>
              <w:jc w:val="both"/>
              <w:rPr>
                <w:rFonts w:ascii="Aptos" w:hAnsi="Aptos"/>
                <w:sz w:val="22"/>
                <w:szCs w:val="22"/>
                <w:lang w:val="sk-SK"/>
              </w:rPr>
            </w:pPr>
            <w:r w:rsidRPr="0054719F">
              <w:rPr>
                <w:rFonts w:ascii="Aptos" w:hAnsi="Aptos"/>
                <w:sz w:val="22"/>
                <w:szCs w:val="22"/>
                <w:lang w:val="sk-SK"/>
              </w:rPr>
              <w:t>Name of participant</w:t>
            </w:r>
          </w:p>
        </w:tc>
        <w:tc>
          <w:tcPr>
            <w:tcW w:w="252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67818D7F" w14:textId="77777777" w:rsidR="0054719F" w:rsidRPr="0054719F" w:rsidRDefault="0054719F" w:rsidP="00CD52F3">
            <w:pPr>
              <w:jc w:val="both"/>
              <w:rPr>
                <w:rFonts w:ascii="Aptos" w:hAnsi="Aptos"/>
                <w:sz w:val="22"/>
                <w:szCs w:val="22"/>
                <w:lang w:val="sk-SK"/>
              </w:rPr>
            </w:pPr>
            <w:r w:rsidRPr="0054719F">
              <w:rPr>
                <w:rFonts w:ascii="Aptos" w:hAnsi="Aptos"/>
                <w:sz w:val="22"/>
                <w:szCs w:val="22"/>
                <w:lang w:val="sk-SK"/>
              </w:rPr>
              <w:t>Country</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01E26E3" w14:textId="77777777" w:rsidR="0054719F" w:rsidRPr="0054719F" w:rsidRDefault="0054719F" w:rsidP="00CD52F3">
            <w:pPr>
              <w:jc w:val="both"/>
              <w:rPr>
                <w:rFonts w:ascii="Aptos" w:hAnsi="Aptos"/>
                <w:sz w:val="22"/>
                <w:szCs w:val="22"/>
                <w:lang w:val="sk-SK"/>
              </w:rPr>
            </w:pPr>
            <w:r w:rsidRPr="0054719F">
              <w:rPr>
                <w:rFonts w:ascii="Aptos" w:hAnsi="Aptos"/>
                <w:sz w:val="22"/>
                <w:szCs w:val="22"/>
                <w:lang w:val="sk-SK"/>
              </w:rPr>
              <w:t>Organisation</w:t>
            </w:r>
          </w:p>
        </w:tc>
        <w:tc>
          <w:tcPr>
            <w:tcW w:w="183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FC6C5EE" w14:textId="77777777" w:rsidR="0054719F" w:rsidRPr="0054719F" w:rsidRDefault="0054719F" w:rsidP="00CD52F3">
            <w:pPr>
              <w:jc w:val="both"/>
              <w:rPr>
                <w:rFonts w:ascii="Aptos" w:hAnsi="Aptos"/>
                <w:sz w:val="22"/>
                <w:szCs w:val="22"/>
                <w:lang w:val="sk-SK"/>
              </w:rPr>
            </w:pPr>
            <w:r w:rsidRPr="0054719F">
              <w:rPr>
                <w:rFonts w:ascii="Aptos" w:hAnsi="Aptos"/>
                <w:sz w:val="22"/>
                <w:szCs w:val="22"/>
                <w:lang w:val="sk-SK"/>
              </w:rPr>
              <w:t xml:space="preserve">Participation </w:t>
            </w:r>
          </w:p>
        </w:tc>
      </w:tr>
      <w:tr w:rsidR="0054719F" w:rsidRPr="008D2E84" w14:paraId="1B6E25AA"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0C4DC299"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w:t>
            </w:r>
          </w:p>
        </w:tc>
        <w:tc>
          <w:tcPr>
            <w:tcW w:w="2400" w:type="dxa"/>
            <w:tcBorders>
              <w:top w:val="single" w:sz="4" w:space="0" w:color="auto"/>
              <w:left w:val="single" w:sz="4" w:space="0" w:color="auto"/>
              <w:bottom w:val="single" w:sz="4" w:space="0" w:color="auto"/>
              <w:right w:val="single" w:sz="4" w:space="0" w:color="auto"/>
            </w:tcBorders>
            <w:hideMark/>
          </w:tcPr>
          <w:p w14:paraId="1E2F185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Karolina Korenčan</w:t>
            </w:r>
          </w:p>
        </w:tc>
        <w:tc>
          <w:tcPr>
            <w:tcW w:w="2529" w:type="dxa"/>
            <w:tcBorders>
              <w:top w:val="single" w:sz="4" w:space="0" w:color="auto"/>
              <w:left w:val="single" w:sz="4" w:space="0" w:color="auto"/>
              <w:bottom w:val="single" w:sz="4" w:space="0" w:color="auto"/>
              <w:right w:val="single" w:sz="4" w:space="0" w:color="auto"/>
            </w:tcBorders>
            <w:hideMark/>
          </w:tcPr>
          <w:p w14:paraId="0FC664C8" w14:textId="77777777" w:rsidR="0054719F" w:rsidRPr="008D2E84" w:rsidRDefault="0054719F" w:rsidP="00CD52F3">
            <w:pPr>
              <w:jc w:val="both"/>
              <w:rPr>
                <w:rFonts w:ascii="Aptos" w:hAnsi="Aptos"/>
                <w:sz w:val="22"/>
                <w:szCs w:val="22"/>
                <w:lang w:val="en-US"/>
              </w:rPr>
            </w:pPr>
            <w:r w:rsidRPr="008D2E84">
              <w:rPr>
                <w:rFonts w:ascii="Aptos" w:hAnsi="Aptos"/>
                <w:sz w:val="22"/>
                <w:szCs w:val="22"/>
                <w:lang w:val="en-US"/>
              </w:rPr>
              <w:t>Slovenia</w:t>
            </w:r>
          </w:p>
        </w:tc>
        <w:tc>
          <w:tcPr>
            <w:tcW w:w="1701" w:type="dxa"/>
            <w:tcBorders>
              <w:top w:val="single" w:sz="4" w:space="0" w:color="auto"/>
              <w:left w:val="single" w:sz="4" w:space="0" w:color="auto"/>
              <w:bottom w:val="single" w:sz="4" w:space="0" w:color="auto"/>
              <w:right w:val="single" w:sz="4" w:space="0" w:color="auto"/>
            </w:tcBorders>
            <w:hideMark/>
          </w:tcPr>
          <w:p w14:paraId="4914FA9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ZD NSI</w:t>
            </w:r>
          </w:p>
        </w:tc>
        <w:tc>
          <w:tcPr>
            <w:tcW w:w="1837" w:type="dxa"/>
            <w:tcBorders>
              <w:top w:val="single" w:sz="4" w:space="0" w:color="auto"/>
              <w:left w:val="single" w:sz="4" w:space="0" w:color="auto"/>
              <w:bottom w:val="single" w:sz="4" w:space="0" w:color="auto"/>
              <w:right w:val="single" w:sz="4" w:space="0" w:color="auto"/>
            </w:tcBorders>
            <w:hideMark/>
          </w:tcPr>
          <w:p w14:paraId="44DE3398"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3EA06D0C"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6BA79D4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2.</w:t>
            </w:r>
          </w:p>
        </w:tc>
        <w:tc>
          <w:tcPr>
            <w:tcW w:w="2400" w:type="dxa"/>
            <w:tcBorders>
              <w:top w:val="single" w:sz="4" w:space="0" w:color="auto"/>
              <w:left w:val="single" w:sz="4" w:space="0" w:color="auto"/>
              <w:bottom w:val="single" w:sz="4" w:space="0" w:color="auto"/>
              <w:right w:val="single" w:sz="4" w:space="0" w:color="auto"/>
            </w:tcBorders>
            <w:hideMark/>
          </w:tcPr>
          <w:p w14:paraId="1848D727"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Boris Korenčan</w:t>
            </w:r>
          </w:p>
        </w:tc>
        <w:tc>
          <w:tcPr>
            <w:tcW w:w="2529" w:type="dxa"/>
            <w:tcBorders>
              <w:top w:val="single" w:sz="4" w:space="0" w:color="auto"/>
              <w:left w:val="single" w:sz="4" w:space="0" w:color="auto"/>
              <w:bottom w:val="single" w:sz="4" w:space="0" w:color="auto"/>
              <w:right w:val="single" w:sz="4" w:space="0" w:color="auto"/>
            </w:tcBorders>
            <w:hideMark/>
          </w:tcPr>
          <w:p w14:paraId="3D72B57B"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Slovenia</w:t>
            </w:r>
          </w:p>
        </w:tc>
        <w:tc>
          <w:tcPr>
            <w:tcW w:w="1701" w:type="dxa"/>
            <w:tcBorders>
              <w:top w:val="single" w:sz="4" w:space="0" w:color="auto"/>
              <w:left w:val="single" w:sz="4" w:space="0" w:color="auto"/>
              <w:bottom w:val="single" w:sz="4" w:space="0" w:color="auto"/>
              <w:right w:val="single" w:sz="4" w:space="0" w:color="auto"/>
            </w:tcBorders>
            <w:hideMark/>
          </w:tcPr>
          <w:p w14:paraId="74A9000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ZD NSI</w:t>
            </w:r>
          </w:p>
        </w:tc>
        <w:tc>
          <w:tcPr>
            <w:tcW w:w="1837" w:type="dxa"/>
            <w:tcBorders>
              <w:top w:val="single" w:sz="4" w:space="0" w:color="auto"/>
              <w:left w:val="single" w:sz="4" w:space="0" w:color="auto"/>
              <w:bottom w:val="single" w:sz="4" w:space="0" w:color="auto"/>
              <w:right w:val="single" w:sz="4" w:space="0" w:color="auto"/>
            </w:tcBorders>
            <w:hideMark/>
          </w:tcPr>
          <w:p w14:paraId="12721BC7"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5AF79187"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2B843157"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3.</w:t>
            </w:r>
          </w:p>
        </w:tc>
        <w:tc>
          <w:tcPr>
            <w:tcW w:w="2400" w:type="dxa"/>
            <w:tcBorders>
              <w:top w:val="single" w:sz="4" w:space="0" w:color="auto"/>
              <w:left w:val="single" w:sz="4" w:space="0" w:color="auto"/>
              <w:bottom w:val="single" w:sz="4" w:space="0" w:color="auto"/>
              <w:right w:val="single" w:sz="4" w:space="0" w:color="auto"/>
            </w:tcBorders>
            <w:hideMark/>
          </w:tcPr>
          <w:p w14:paraId="0965912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Sylwia Parafiniuk</w:t>
            </w:r>
          </w:p>
        </w:tc>
        <w:tc>
          <w:tcPr>
            <w:tcW w:w="2529" w:type="dxa"/>
            <w:tcBorders>
              <w:top w:val="single" w:sz="4" w:space="0" w:color="auto"/>
              <w:left w:val="single" w:sz="4" w:space="0" w:color="auto"/>
              <w:bottom w:val="single" w:sz="4" w:space="0" w:color="auto"/>
              <w:right w:val="single" w:sz="4" w:space="0" w:color="auto"/>
            </w:tcBorders>
            <w:hideMark/>
          </w:tcPr>
          <w:p w14:paraId="187D4D2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Poland</w:t>
            </w:r>
          </w:p>
        </w:tc>
        <w:tc>
          <w:tcPr>
            <w:tcW w:w="1701" w:type="dxa"/>
            <w:tcBorders>
              <w:top w:val="single" w:sz="4" w:space="0" w:color="auto"/>
              <w:left w:val="single" w:sz="4" w:space="0" w:color="auto"/>
              <w:bottom w:val="single" w:sz="4" w:space="0" w:color="auto"/>
              <w:right w:val="single" w:sz="4" w:space="0" w:color="auto"/>
            </w:tcBorders>
            <w:hideMark/>
          </w:tcPr>
          <w:p w14:paraId="1A055A1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ED</w:t>
            </w:r>
            <w:r>
              <w:rPr>
                <w:rFonts w:ascii="Aptos" w:hAnsi="Aptos"/>
                <w:sz w:val="22"/>
                <w:szCs w:val="22"/>
                <w:lang w:val="sk-SK"/>
              </w:rPr>
              <w:t>S</w:t>
            </w:r>
            <w:r w:rsidRPr="008D2E84">
              <w:rPr>
                <w:rFonts w:ascii="Aptos" w:hAnsi="Aptos"/>
                <w:sz w:val="22"/>
                <w:szCs w:val="22"/>
                <w:lang w:val="sk-SK"/>
              </w:rPr>
              <w:t xml:space="preserve"> – F</w:t>
            </w:r>
            <w:r>
              <w:rPr>
                <w:rFonts w:ascii="Aptos" w:hAnsi="Aptos"/>
                <w:sz w:val="22"/>
                <w:szCs w:val="22"/>
                <w:lang w:val="sk-SK"/>
              </w:rPr>
              <w:t>NS</w:t>
            </w:r>
          </w:p>
        </w:tc>
        <w:tc>
          <w:tcPr>
            <w:tcW w:w="1837" w:type="dxa"/>
            <w:tcBorders>
              <w:top w:val="single" w:sz="4" w:space="0" w:color="auto"/>
              <w:left w:val="single" w:sz="4" w:space="0" w:color="auto"/>
              <w:bottom w:val="single" w:sz="4" w:space="0" w:color="auto"/>
              <w:right w:val="single" w:sz="4" w:space="0" w:color="auto"/>
            </w:tcBorders>
            <w:hideMark/>
          </w:tcPr>
          <w:p w14:paraId="5A5DC91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7DB06AE6"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6696C7A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4.</w:t>
            </w:r>
          </w:p>
        </w:tc>
        <w:tc>
          <w:tcPr>
            <w:tcW w:w="2400" w:type="dxa"/>
            <w:tcBorders>
              <w:top w:val="single" w:sz="4" w:space="0" w:color="auto"/>
              <w:left w:val="single" w:sz="4" w:space="0" w:color="auto"/>
              <w:bottom w:val="single" w:sz="4" w:space="0" w:color="auto"/>
              <w:right w:val="single" w:sz="4" w:space="0" w:color="auto"/>
            </w:tcBorders>
            <w:hideMark/>
          </w:tcPr>
          <w:p w14:paraId="417622D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Beata Cygan</w:t>
            </w:r>
          </w:p>
        </w:tc>
        <w:tc>
          <w:tcPr>
            <w:tcW w:w="2529" w:type="dxa"/>
            <w:tcBorders>
              <w:top w:val="single" w:sz="4" w:space="0" w:color="auto"/>
              <w:left w:val="single" w:sz="4" w:space="0" w:color="auto"/>
              <w:bottom w:val="single" w:sz="4" w:space="0" w:color="auto"/>
              <w:right w:val="single" w:sz="4" w:space="0" w:color="auto"/>
            </w:tcBorders>
            <w:hideMark/>
          </w:tcPr>
          <w:p w14:paraId="6C227AE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Poland</w:t>
            </w:r>
          </w:p>
        </w:tc>
        <w:tc>
          <w:tcPr>
            <w:tcW w:w="1701" w:type="dxa"/>
            <w:tcBorders>
              <w:top w:val="single" w:sz="4" w:space="0" w:color="auto"/>
              <w:left w:val="single" w:sz="4" w:space="0" w:color="auto"/>
              <w:bottom w:val="single" w:sz="4" w:space="0" w:color="auto"/>
              <w:right w:val="single" w:sz="4" w:space="0" w:color="auto"/>
            </w:tcBorders>
            <w:hideMark/>
          </w:tcPr>
          <w:p w14:paraId="01D1B4A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ED</w:t>
            </w:r>
            <w:r>
              <w:rPr>
                <w:rFonts w:ascii="Aptos" w:hAnsi="Aptos"/>
                <w:sz w:val="22"/>
                <w:szCs w:val="22"/>
                <w:lang w:val="sk-SK"/>
              </w:rPr>
              <w:t>S</w:t>
            </w:r>
            <w:r w:rsidRPr="008D2E84">
              <w:rPr>
                <w:rFonts w:ascii="Aptos" w:hAnsi="Aptos"/>
                <w:sz w:val="22"/>
                <w:szCs w:val="22"/>
                <w:lang w:val="sk-SK"/>
              </w:rPr>
              <w:t xml:space="preserve"> – F</w:t>
            </w:r>
            <w:r>
              <w:rPr>
                <w:rFonts w:ascii="Aptos" w:hAnsi="Aptos"/>
                <w:sz w:val="22"/>
                <w:szCs w:val="22"/>
                <w:lang w:val="sk-SK"/>
              </w:rPr>
              <w:t>NS</w:t>
            </w:r>
          </w:p>
        </w:tc>
        <w:tc>
          <w:tcPr>
            <w:tcW w:w="1837" w:type="dxa"/>
            <w:tcBorders>
              <w:top w:val="single" w:sz="4" w:space="0" w:color="auto"/>
              <w:left w:val="single" w:sz="4" w:space="0" w:color="auto"/>
              <w:bottom w:val="single" w:sz="4" w:space="0" w:color="auto"/>
              <w:right w:val="single" w:sz="4" w:space="0" w:color="auto"/>
            </w:tcBorders>
            <w:hideMark/>
          </w:tcPr>
          <w:p w14:paraId="650B4DB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0F931C97"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7401E41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5.</w:t>
            </w:r>
          </w:p>
        </w:tc>
        <w:tc>
          <w:tcPr>
            <w:tcW w:w="2400" w:type="dxa"/>
            <w:tcBorders>
              <w:top w:val="single" w:sz="4" w:space="0" w:color="auto"/>
              <w:left w:val="single" w:sz="4" w:space="0" w:color="auto"/>
              <w:bottom w:val="single" w:sz="4" w:space="0" w:color="auto"/>
              <w:right w:val="single" w:sz="4" w:space="0" w:color="auto"/>
            </w:tcBorders>
            <w:hideMark/>
          </w:tcPr>
          <w:p w14:paraId="07989EA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Marie Čapková</w:t>
            </w:r>
          </w:p>
        </w:tc>
        <w:tc>
          <w:tcPr>
            <w:tcW w:w="2529" w:type="dxa"/>
            <w:tcBorders>
              <w:top w:val="single" w:sz="4" w:space="0" w:color="auto"/>
              <w:left w:val="single" w:sz="4" w:space="0" w:color="auto"/>
              <w:bottom w:val="single" w:sz="4" w:space="0" w:color="auto"/>
              <w:right w:val="single" w:sz="4" w:space="0" w:color="auto"/>
            </w:tcBorders>
            <w:hideMark/>
          </w:tcPr>
          <w:p w14:paraId="050C159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Czechia</w:t>
            </w:r>
          </w:p>
        </w:tc>
        <w:tc>
          <w:tcPr>
            <w:tcW w:w="1701" w:type="dxa"/>
            <w:tcBorders>
              <w:top w:val="single" w:sz="4" w:space="0" w:color="auto"/>
              <w:left w:val="single" w:sz="4" w:space="0" w:color="auto"/>
              <w:bottom w:val="single" w:sz="4" w:space="0" w:color="auto"/>
              <w:right w:val="single" w:sz="4" w:space="0" w:color="auto"/>
            </w:tcBorders>
            <w:hideMark/>
          </w:tcPr>
          <w:p w14:paraId="3BA5D57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hKAP</w:t>
            </w:r>
          </w:p>
        </w:tc>
        <w:tc>
          <w:tcPr>
            <w:tcW w:w="1837" w:type="dxa"/>
            <w:tcBorders>
              <w:top w:val="single" w:sz="4" w:space="0" w:color="auto"/>
              <w:left w:val="single" w:sz="4" w:space="0" w:color="auto"/>
              <w:bottom w:val="single" w:sz="4" w:space="0" w:color="auto"/>
              <w:right w:val="single" w:sz="4" w:space="0" w:color="auto"/>
            </w:tcBorders>
            <w:hideMark/>
          </w:tcPr>
          <w:p w14:paraId="63FA2CB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48FFEDF3"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19BC7CB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6.</w:t>
            </w:r>
          </w:p>
        </w:tc>
        <w:tc>
          <w:tcPr>
            <w:tcW w:w="2400" w:type="dxa"/>
            <w:tcBorders>
              <w:top w:val="single" w:sz="4" w:space="0" w:color="auto"/>
              <w:left w:val="single" w:sz="4" w:space="0" w:color="auto"/>
              <w:bottom w:val="single" w:sz="4" w:space="0" w:color="auto"/>
              <w:right w:val="single" w:sz="4" w:space="0" w:color="auto"/>
            </w:tcBorders>
            <w:hideMark/>
          </w:tcPr>
          <w:p w14:paraId="6F0A14C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Lidmila Němcová</w:t>
            </w:r>
          </w:p>
        </w:tc>
        <w:tc>
          <w:tcPr>
            <w:tcW w:w="2529" w:type="dxa"/>
            <w:tcBorders>
              <w:top w:val="single" w:sz="4" w:space="0" w:color="auto"/>
              <w:left w:val="single" w:sz="4" w:space="0" w:color="auto"/>
              <w:bottom w:val="single" w:sz="4" w:space="0" w:color="auto"/>
              <w:right w:val="single" w:sz="4" w:space="0" w:color="auto"/>
            </w:tcBorders>
            <w:hideMark/>
          </w:tcPr>
          <w:p w14:paraId="70CB35D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Czechia</w:t>
            </w:r>
          </w:p>
        </w:tc>
        <w:tc>
          <w:tcPr>
            <w:tcW w:w="1701" w:type="dxa"/>
            <w:tcBorders>
              <w:top w:val="single" w:sz="4" w:space="0" w:color="auto"/>
              <w:left w:val="single" w:sz="4" w:space="0" w:color="auto"/>
              <w:bottom w:val="single" w:sz="4" w:space="0" w:color="auto"/>
              <w:right w:val="single" w:sz="4" w:space="0" w:color="auto"/>
            </w:tcBorders>
            <w:hideMark/>
          </w:tcPr>
          <w:p w14:paraId="3EDE1B9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hKAP</w:t>
            </w:r>
          </w:p>
        </w:tc>
        <w:tc>
          <w:tcPr>
            <w:tcW w:w="1837" w:type="dxa"/>
            <w:tcBorders>
              <w:top w:val="single" w:sz="4" w:space="0" w:color="auto"/>
              <w:left w:val="single" w:sz="4" w:space="0" w:color="auto"/>
              <w:bottom w:val="single" w:sz="4" w:space="0" w:color="auto"/>
              <w:right w:val="single" w:sz="4" w:space="0" w:color="auto"/>
            </w:tcBorders>
            <w:hideMark/>
          </w:tcPr>
          <w:p w14:paraId="69D5C553"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0035B222"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1D58533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7.</w:t>
            </w:r>
          </w:p>
        </w:tc>
        <w:tc>
          <w:tcPr>
            <w:tcW w:w="2400" w:type="dxa"/>
            <w:tcBorders>
              <w:top w:val="single" w:sz="4" w:space="0" w:color="auto"/>
              <w:left w:val="single" w:sz="4" w:space="0" w:color="auto"/>
              <w:bottom w:val="single" w:sz="4" w:space="0" w:color="auto"/>
              <w:right w:val="single" w:sz="4" w:space="0" w:color="auto"/>
            </w:tcBorders>
            <w:hideMark/>
          </w:tcPr>
          <w:p w14:paraId="607DAAA4"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Petr Hlaváček</w:t>
            </w:r>
          </w:p>
        </w:tc>
        <w:tc>
          <w:tcPr>
            <w:tcW w:w="2529" w:type="dxa"/>
            <w:tcBorders>
              <w:top w:val="single" w:sz="4" w:space="0" w:color="auto"/>
              <w:left w:val="single" w:sz="4" w:space="0" w:color="auto"/>
              <w:bottom w:val="single" w:sz="4" w:space="0" w:color="auto"/>
              <w:right w:val="single" w:sz="4" w:space="0" w:color="auto"/>
            </w:tcBorders>
            <w:hideMark/>
          </w:tcPr>
          <w:p w14:paraId="500835D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Czechia</w:t>
            </w:r>
          </w:p>
        </w:tc>
        <w:tc>
          <w:tcPr>
            <w:tcW w:w="1701" w:type="dxa"/>
            <w:tcBorders>
              <w:top w:val="single" w:sz="4" w:space="0" w:color="auto"/>
              <w:left w:val="single" w:sz="4" w:space="0" w:color="auto"/>
              <w:bottom w:val="single" w:sz="4" w:space="0" w:color="auto"/>
              <w:right w:val="single" w:sz="4" w:space="0" w:color="auto"/>
            </w:tcBorders>
            <w:hideMark/>
          </w:tcPr>
          <w:p w14:paraId="6607226B"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hKAP</w:t>
            </w:r>
          </w:p>
        </w:tc>
        <w:tc>
          <w:tcPr>
            <w:tcW w:w="1837" w:type="dxa"/>
            <w:tcBorders>
              <w:top w:val="single" w:sz="4" w:space="0" w:color="auto"/>
              <w:left w:val="single" w:sz="4" w:space="0" w:color="auto"/>
              <w:bottom w:val="single" w:sz="4" w:space="0" w:color="auto"/>
              <w:right w:val="single" w:sz="4" w:space="0" w:color="auto"/>
            </w:tcBorders>
            <w:hideMark/>
          </w:tcPr>
          <w:p w14:paraId="3AC0597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1030DBBE"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26FF6BC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8.</w:t>
            </w:r>
          </w:p>
        </w:tc>
        <w:tc>
          <w:tcPr>
            <w:tcW w:w="2400" w:type="dxa"/>
            <w:tcBorders>
              <w:top w:val="single" w:sz="4" w:space="0" w:color="auto"/>
              <w:left w:val="single" w:sz="4" w:space="0" w:color="auto"/>
              <w:bottom w:val="single" w:sz="4" w:space="0" w:color="auto"/>
              <w:right w:val="single" w:sz="4" w:space="0" w:color="auto"/>
            </w:tcBorders>
            <w:hideMark/>
          </w:tcPr>
          <w:p w14:paraId="2FD6E905"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 xml:space="preserve">Helena Sladká </w:t>
            </w:r>
          </w:p>
        </w:tc>
        <w:tc>
          <w:tcPr>
            <w:tcW w:w="2529" w:type="dxa"/>
            <w:tcBorders>
              <w:top w:val="single" w:sz="4" w:space="0" w:color="auto"/>
              <w:left w:val="single" w:sz="4" w:space="0" w:color="auto"/>
              <w:bottom w:val="single" w:sz="4" w:space="0" w:color="auto"/>
              <w:right w:val="single" w:sz="4" w:space="0" w:color="auto"/>
            </w:tcBorders>
            <w:hideMark/>
          </w:tcPr>
          <w:p w14:paraId="62B6355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Czechia</w:t>
            </w:r>
          </w:p>
        </w:tc>
        <w:tc>
          <w:tcPr>
            <w:tcW w:w="1701" w:type="dxa"/>
            <w:tcBorders>
              <w:top w:val="single" w:sz="4" w:space="0" w:color="auto"/>
              <w:left w:val="single" w:sz="4" w:space="0" w:color="auto"/>
              <w:bottom w:val="single" w:sz="4" w:space="0" w:color="auto"/>
              <w:right w:val="single" w:sz="4" w:space="0" w:color="auto"/>
            </w:tcBorders>
            <w:hideMark/>
          </w:tcPr>
          <w:p w14:paraId="032A14BE"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hKAP</w:t>
            </w:r>
          </w:p>
        </w:tc>
        <w:tc>
          <w:tcPr>
            <w:tcW w:w="1837" w:type="dxa"/>
            <w:tcBorders>
              <w:top w:val="single" w:sz="4" w:space="0" w:color="auto"/>
              <w:left w:val="single" w:sz="4" w:space="0" w:color="auto"/>
              <w:bottom w:val="single" w:sz="4" w:space="0" w:color="auto"/>
              <w:right w:val="single" w:sz="4" w:space="0" w:color="auto"/>
            </w:tcBorders>
            <w:hideMark/>
          </w:tcPr>
          <w:p w14:paraId="006A7C58"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24F77839"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3D6AD319"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9.</w:t>
            </w:r>
          </w:p>
        </w:tc>
        <w:tc>
          <w:tcPr>
            <w:tcW w:w="2400" w:type="dxa"/>
            <w:tcBorders>
              <w:top w:val="single" w:sz="4" w:space="0" w:color="auto"/>
              <w:left w:val="single" w:sz="4" w:space="0" w:color="auto"/>
              <w:bottom w:val="single" w:sz="4" w:space="0" w:color="auto"/>
              <w:right w:val="single" w:sz="4" w:space="0" w:color="auto"/>
            </w:tcBorders>
            <w:hideMark/>
          </w:tcPr>
          <w:p w14:paraId="46312CF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Lubomír Müller</w:t>
            </w:r>
          </w:p>
        </w:tc>
        <w:tc>
          <w:tcPr>
            <w:tcW w:w="2529" w:type="dxa"/>
            <w:tcBorders>
              <w:top w:val="single" w:sz="4" w:space="0" w:color="auto"/>
              <w:left w:val="single" w:sz="4" w:space="0" w:color="auto"/>
              <w:bottom w:val="single" w:sz="4" w:space="0" w:color="auto"/>
              <w:right w:val="single" w:sz="4" w:space="0" w:color="auto"/>
            </w:tcBorders>
            <w:hideMark/>
          </w:tcPr>
          <w:p w14:paraId="67961B2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Czechia</w:t>
            </w:r>
          </w:p>
        </w:tc>
        <w:tc>
          <w:tcPr>
            <w:tcW w:w="1701" w:type="dxa"/>
            <w:tcBorders>
              <w:top w:val="single" w:sz="4" w:space="0" w:color="auto"/>
              <w:left w:val="single" w:sz="4" w:space="0" w:color="auto"/>
              <w:bottom w:val="single" w:sz="4" w:space="0" w:color="auto"/>
              <w:right w:val="single" w:sz="4" w:space="0" w:color="auto"/>
            </w:tcBorders>
            <w:hideMark/>
          </w:tcPr>
          <w:p w14:paraId="049D7055"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hKAP</w:t>
            </w:r>
          </w:p>
        </w:tc>
        <w:tc>
          <w:tcPr>
            <w:tcW w:w="1837" w:type="dxa"/>
            <w:tcBorders>
              <w:top w:val="single" w:sz="4" w:space="0" w:color="auto"/>
              <w:left w:val="single" w:sz="4" w:space="0" w:color="auto"/>
              <w:bottom w:val="single" w:sz="4" w:space="0" w:color="auto"/>
              <w:right w:val="single" w:sz="4" w:space="0" w:color="auto"/>
            </w:tcBorders>
            <w:hideMark/>
          </w:tcPr>
          <w:p w14:paraId="26EB1E55"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700EACF2"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44CBF84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10.</w:t>
            </w:r>
          </w:p>
        </w:tc>
        <w:tc>
          <w:tcPr>
            <w:tcW w:w="2400" w:type="dxa"/>
            <w:tcBorders>
              <w:top w:val="single" w:sz="4" w:space="0" w:color="auto"/>
              <w:left w:val="single" w:sz="4" w:space="0" w:color="auto"/>
              <w:bottom w:val="single" w:sz="4" w:space="0" w:color="auto"/>
              <w:right w:val="single" w:sz="4" w:space="0" w:color="auto"/>
            </w:tcBorders>
            <w:hideMark/>
          </w:tcPr>
          <w:p w14:paraId="60007FE7"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Ludmila Kučerová</w:t>
            </w:r>
          </w:p>
        </w:tc>
        <w:tc>
          <w:tcPr>
            <w:tcW w:w="2529" w:type="dxa"/>
            <w:tcBorders>
              <w:top w:val="single" w:sz="4" w:space="0" w:color="auto"/>
              <w:left w:val="single" w:sz="4" w:space="0" w:color="auto"/>
              <w:bottom w:val="single" w:sz="4" w:space="0" w:color="auto"/>
              <w:right w:val="single" w:sz="4" w:space="0" w:color="auto"/>
            </w:tcBorders>
            <w:hideMark/>
          </w:tcPr>
          <w:p w14:paraId="0E379F08"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Czechia</w:t>
            </w:r>
          </w:p>
        </w:tc>
        <w:tc>
          <w:tcPr>
            <w:tcW w:w="1701" w:type="dxa"/>
            <w:tcBorders>
              <w:top w:val="single" w:sz="4" w:space="0" w:color="auto"/>
              <w:left w:val="single" w:sz="4" w:space="0" w:color="auto"/>
              <w:bottom w:val="single" w:sz="4" w:space="0" w:color="auto"/>
              <w:right w:val="single" w:sz="4" w:space="0" w:color="auto"/>
            </w:tcBorders>
            <w:hideMark/>
          </w:tcPr>
          <w:p w14:paraId="06DCAEC8"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hKAP</w:t>
            </w:r>
          </w:p>
        </w:tc>
        <w:tc>
          <w:tcPr>
            <w:tcW w:w="1837" w:type="dxa"/>
            <w:tcBorders>
              <w:top w:val="single" w:sz="4" w:space="0" w:color="auto"/>
              <w:left w:val="single" w:sz="4" w:space="0" w:color="auto"/>
              <w:bottom w:val="single" w:sz="4" w:space="0" w:color="auto"/>
              <w:right w:val="single" w:sz="4" w:space="0" w:color="auto"/>
            </w:tcBorders>
            <w:hideMark/>
          </w:tcPr>
          <w:p w14:paraId="5B29DCF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7A815697"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7E0DA91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11.</w:t>
            </w:r>
          </w:p>
        </w:tc>
        <w:tc>
          <w:tcPr>
            <w:tcW w:w="2400" w:type="dxa"/>
            <w:tcBorders>
              <w:top w:val="single" w:sz="4" w:space="0" w:color="auto"/>
              <w:left w:val="single" w:sz="4" w:space="0" w:color="auto"/>
              <w:bottom w:val="single" w:sz="4" w:space="0" w:color="auto"/>
              <w:right w:val="single" w:sz="4" w:space="0" w:color="auto"/>
            </w:tcBorders>
            <w:hideMark/>
          </w:tcPr>
          <w:p w14:paraId="6D1D9845"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Josef Kučera</w:t>
            </w:r>
          </w:p>
        </w:tc>
        <w:tc>
          <w:tcPr>
            <w:tcW w:w="2529" w:type="dxa"/>
            <w:tcBorders>
              <w:top w:val="single" w:sz="4" w:space="0" w:color="auto"/>
              <w:left w:val="single" w:sz="4" w:space="0" w:color="auto"/>
              <w:bottom w:val="single" w:sz="4" w:space="0" w:color="auto"/>
              <w:right w:val="single" w:sz="4" w:space="0" w:color="auto"/>
            </w:tcBorders>
            <w:hideMark/>
          </w:tcPr>
          <w:p w14:paraId="23678E1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Czechia</w:t>
            </w:r>
          </w:p>
        </w:tc>
        <w:tc>
          <w:tcPr>
            <w:tcW w:w="1701" w:type="dxa"/>
            <w:tcBorders>
              <w:top w:val="single" w:sz="4" w:space="0" w:color="auto"/>
              <w:left w:val="single" w:sz="4" w:space="0" w:color="auto"/>
              <w:bottom w:val="single" w:sz="4" w:space="0" w:color="auto"/>
              <w:right w:val="single" w:sz="4" w:space="0" w:color="auto"/>
            </w:tcBorders>
            <w:hideMark/>
          </w:tcPr>
          <w:p w14:paraId="56C21DE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hKAP</w:t>
            </w:r>
          </w:p>
        </w:tc>
        <w:tc>
          <w:tcPr>
            <w:tcW w:w="1837" w:type="dxa"/>
            <w:tcBorders>
              <w:top w:val="single" w:sz="4" w:space="0" w:color="auto"/>
              <w:left w:val="single" w:sz="4" w:space="0" w:color="auto"/>
              <w:bottom w:val="single" w:sz="4" w:space="0" w:color="auto"/>
              <w:right w:val="single" w:sz="4" w:space="0" w:color="auto"/>
            </w:tcBorders>
            <w:hideMark/>
          </w:tcPr>
          <w:p w14:paraId="70013CAB"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171E79D6"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4EE3E367"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12.</w:t>
            </w:r>
          </w:p>
        </w:tc>
        <w:tc>
          <w:tcPr>
            <w:tcW w:w="2400" w:type="dxa"/>
            <w:tcBorders>
              <w:top w:val="single" w:sz="4" w:space="0" w:color="auto"/>
              <w:left w:val="single" w:sz="4" w:space="0" w:color="auto"/>
              <w:bottom w:val="single" w:sz="4" w:space="0" w:color="auto"/>
              <w:right w:val="single" w:sz="4" w:space="0" w:color="auto"/>
            </w:tcBorders>
            <w:hideMark/>
          </w:tcPr>
          <w:p w14:paraId="1797CCB3"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Lyudmyla Vysotska</w:t>
            </w:r>
          </w:p>
        </w:tc>
        <w:tc>
          <w:tcPr>
            <w:tcW w:w="2529" w:type="dxa"/>
            <w:tcBorders>
              <w:top w:val="single" w:sz="4" w:space="0" w:color="auto"/>
              <w:left w:val="single" w:sz="4" w:space="0" w:color="auto"/>
              <w:bottom w:val="single" w:sz="4" w:space="0" w:color="auto"/>
              <w:right w:val="single" w:sz="4" w:space="0" w:color="auto"/>
            </w:tcBorders>
            <w:hideMark/>
          </w:tcPr>
          <w:p w14:paraId="3594A02E"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Ukraine</w:t>
            </w:r>
          </w:p>
        </w:tc>
        <w:tc>
          <w:tcPr>
            <w:tcW w:w="1701" w:type="dxa"/>
            <w:tcBorders>
              <w:top w:val="single" w:sz="4" w:space="0" w:color="auto"/>
              <w:left w:val="single" w:sz="4" w:space="0" w:color="auto"/>
              <w:bottom w:val="single" w:sz="4" w:space="0" w:color="auto"/>
              <w:right w:val="single" w:sz="4" w:space="0" w:color="auto"/>
            </w:tcBorders>
            <w:hideMark/>
          </w:tcPr>
          <w:p w14:paraId="21D1E48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VOST VOLYA</w:t>
            </w:r>
          </w:p>
        </w:tc>
        <w:tc>
          <w:tcPr>
            <w:tcW w:w="1837" w:type="dxa"/>
            <w:tcBorders>
              <w:top w:val="single" w:sz="4" w:space="0" w:color="auto"/>
              <w:left w:val="single" w:sz="4" w:space="0" w:color="auto"/>
              <w:bottom w:val="single" w:sz="4" w:space="0" w:color="auto"/>
              <w:right w:val="single" w:sz="4" w:space="0" w:color="auto"/>
            </w:tcBorders>
            <w:hideMark/>
          </w:tcPr>
          <w:p w14:paraId="0C398E8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55DE62DF"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0734CC94"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13.</w:t>
            </w:r>
          </w:p>
        </w:tc>
        <w:tc>
          <w:tcPr>
            <w:tcW w:w="2400" w:type="dxa"/>
            <w:tcBorders>
              <w:top w:val="single" w:sz="4" w:space="0" w:color="auto"/>
              <w:left w:val="single" w:sz="4" w:space="0" w:color="auto"/>
              <w:bottom w:val="single" w:sz="4" w:space="0" w:color="auto"/>
              <w:right w:val="single" w:sz="4" w:space="0" w:color="auto"/>
            </w:tcBorders>
            <w:hideMark/>
          </w:tcPr>
          <w:p w14:paraId="0F99085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Yuriy Kurylo</w:t>
            </w:r>
          </w:p>
        </w:tc>
        <w:tc>
          <w:tcPr>
            <w:tcW w:w="2529" w:type="dxa"/>
            <w:tcBorders>
              <w:top w:val="single" w:sz="4" w:space="0" w:color="auto"/>
              <w:left w:val="single" w:sz="4" w:space="0" w:color="auto"/>
              <w:bottom w:val="single" w:sz="4" w:space="0" w:color="auto"/>
              <w:right w:val="single" w:sz="4" w:space="0" w:color="auto"/>
            </w:tcBorders>
            <w:hideMark/>
          </w:tcPr>
          <w:p w14:paraId="7CE1720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Ukraine</w:t>
            </w:r>
          </w:p>
        </w:tc>
        <w:tc>
          <w:tcPr>
            <w:tcW w:w="1701" w:type="dxa"/>
            <w:tcBorders>
              <w:top w:val="single" w:sz="4" w:space="0" w:color="auto"/>
              <w:left w:val="single" w:sz="4" w:space="0" w:color="auto"/>
              <w:bottom w:val="single" w:sz="4" w:space="0" w:color="auto"/>
              <w:right w:val="single" w:sz="4" w:space="0" w:color="auto"/>
            </w:tcBorders>
            <w:hideMark/>
          </w:tcPr>
          <w:p w14:paraId="6FE1605E"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VOST VOLYA</w:t>
            </w:r>
          </w:p>
        </w:tc>
        <w:tc>
          <w:tcPr>
            <w:tcW w:w="1837" w:type="dxa"/>
            <w:tcBorders>
              <w:top w:val="single" w:sz="4" w:space="0" w:color="auto"/>
              <w:left w:val="single" w:sz="4" w:space="0" w:color="auto"/>
              <w:bottom w:val="single" w:sz="4" w:space="0" w:color="auto"/>
              <w:right w:val="single" w:sz="4" w:space="0" w:color="auto"/>
            </w:tcBorders>
            <w:hideMark/>
          </w:tcPr>
          <w:p w14:paraId="343AFBE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1968E541"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4F83E75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14.</w:t>
            </w:r>
          </w:p>
        </w:tc>
        <w:tc>
          <w:tcPr>
            <w:tcW w:w="2400" w:type="dxa"/>
            <w:tcBorders>
              <w:top w:val="single" w:sz="4" w:space="0" w:color="auto"/>
              <w:left w:val="single" w:sz="4" w:space="0" w:color="auto"/>
              <w:bottom w:val="single" w:sz="4" w:space="0" w:color="auto"/>
              <w:right w:val="single" w:sz="4" w:space="0" w:color="auto"/>
            </w:tcBorders>
            <w:hideMark/>
          </w:tcPr>
          <w:p w14:paraId="124DF44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Aleksandar Cekov</w:t>
            </w:r>
          </w:p>
        </w:tc>
        <w:tc>
          <w:tcPr>
            <w:tcW w:w="2529" w:type="dxa"/>
            <w:tcBorders>
              <w:top w:val="single" w:sz="4" w:space="0" w:color="auto"/>
              <w:left w:val="single" w:sz="4" w:space="0" w:color="auto"/>
              <w:bottom w:val="single" w:sz="4" w:space="0" w:color="auto"/>
              <w:right w:val="single" w:sz="4" w:space="0" w:color="auto"/>
            </w:tcBorders>
            <w:hideMark/>
          </w:tcPr>
          <w:p w14:paraId="53A035AF"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Macedonia</w:t>
            </w:r>
          </w:p>
        </w:tc>
        <w:tc>
          <w:tcPr>
            <w:tcW w:w="1701" w:type="dxa"/>
            <w:tcBorders>
              <w:top w:val="single" w:sz="4" w:space="0" w:color="auto"/>
              <w:left w:val="single" w:sz="4" w:space="0" w:color="auto"/>
              <w:bottom w:val="single" w:sz="4" w:space="0" w:color="auto"/>
              <w:right w:val="single" w:sz="4" w:space="0" w:color="auto"/>
            </w:tcBorders>
            <w:hideMark/>
          </w:tcPr>
          <w:p w14:paraId="44384CC5"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SFOM</w:t>
            </w:r>
          </w:p>
        </w:tc>
        <w:tc>
          <w:tcPr>
            <w:tcW w:w="1837" w:type="dxa"/>
            <w:tcBorders>
              <w:top w:val="single" w:sz="4" w:space="0" w:color="auto"/>
              <w:left w:val="single" w:sz="4" w:space="0" w:color="auto"/>
              <w:bottom w:val="single" w:sz="4" w:space="0" w:color="auto"/>
              <w:right w:val="single" w:sz="4" w:space="0" w:color="auto"/>
            </w:tcBorders>
            <w:hideMark/>
          </w:tcPr>
          <w:p w14:paraId="3EE6055F"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5687BBB5"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682FBCF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15.</w:t>
            </w:r>
          </w:p>
        </w:tc>
        <w:tc>
          <w:tcPr>
            <w:tcW w:w="2400" w:type="dxa"/>
            <w:tcBorders>
              <w:top w:val="single" w:sz="4" w:space="0" w:color="auto"/>
              <w:left w:val="single" w:sz="4" w:space="0" w:color="auto"/>
              <w:bottom w:val="single" w:sz="4" w:space="0" w:color="auto"/>
              <w:right w:val="single" w:sz="4" w:space="0" w:color="auto"/>
            </w:tcBorders>
            <w:hideMark/>
          </w:tcPr>
          <w:p w14:paraId="0A720F9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Filip Janevski</w:t>
            </w:r>
          </w:p>
        </w:tc>
        <w:tc>
          <w:tcPr>
            <w:tcW w:w="2529" w:type="dxa"/>
            <w:tcBorders>
              <w:top w:val="single" w:sz="4" w:space="0" w:color="auto"/>
              <w:left w:val="single" w:sz="4" w:space="0" w:color="auto"/>
              <w:bottom w:val="single" w:sz="4" w:space="0" w:color="auto"/>
              <w:right w:val="single" w:sz="4" w:space="0" w:color="auto"/>
            </w:tcBorders>
            <w:hideMark/>
          </w:tcPr>
          <w:p w14:paraId="54CD4AAE"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Macedonia</w:t>
            </w:r>
          </w:p>
        </w:tc>
        <w:tc>
          <w:tcPr>
            <w:tcW w:w="1701" w:type="dxa"/>
            <w:tcBorders>
              <w:top w:val="single" w:sz="4" w:space="0" w:color="auto"/>
              <w:left w:val="single" w:sz="4" w:space="0" w:color="auto"/>
              <w:bottom w:val="single" w:sz="4" w:space="0" w:color="auto"/>
              <w:right w:val="single" w:sz="4" w:space="0" w:color="auto"/>
            </w:tcBorders>
            <w:hideMark/>
          </w:tcPr>
          <w:p w14:paraId="62B6D6D7"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SFOM</w:t>
            </w:r>
          </w:p>
        </w:tc>
        <w:tc>
          <w:tcPr>
            <w:tcW w:w="1837" w:type="dxa"/>
            <w:tcBorders>
              <w:top w:val="single" w:sz="4" w:space="0" w:color="auto"/>
              <w:left w:val="single" w:sz="4" w:space="0" w:color="auto"/>
              <w:bottom w:val="single" w:sz="4" w:space="0" w:color="auto"/>
              <w:right w:val="single" w:sz="4" w:space="0" w:color="auto"/>
            </w:tcBorders>
            <w:hideMark/>
          </w:tcPr>
          <w:p w14:paraId="1B5CE9F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0031A15C"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303903F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16.</w:t>
            </w:r>
          </w:p>
        </w:tc>
        <w:tc>
          <w:tcPr>
            <w:tcW w:w="2400" w:type="dxa"/>
            <w:tcBorders>
              <w:top w:val="single" w:sz="4" w:space="0" w:color="auto"/>
              <w:left w:val="single" w:sz="4" w:space="0" w:color="auto"/>
              <w:bottom w:val="single" w:sz="4" w:space="0" w:color="auto"/>
              <w:right w:val="single" w:sz="4" w:space="0" w:color="auto"/>
            </w:tcBorders>
            <w:hideMark/>
          </w:tcPr>
          <w:p w14:paraId="165911B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Simona Stavreska</w:t>
            </w:r>
          </w:p>
          <w:p w14:paraId="72085E4F"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 xml:space="preserve"> Sazdovska</w:t>
            </w:r>
          </w:p>
        </w:tc>
        <w:tc>
          <w:tcPr>
            <w:tcW w:w="2529" w:type="dxa"/>
            <w:tcBorders>
              <w:top w:val="single" w:sz="4" w:space="0" w:color="auto"/>
              <w:left w:val="single" w:sz="4" w:space="0" w:color="auto"/>
              <w:bottom w:val="single" w:sz="4" w:space="0" w:color="auto"/>
              <w:right w:val="single" w:sz="4" w:space="0" w:color="auto"/>
            </w:tcBorders>
            <w:hideMark/>
          </w:tcPr>
          <w:p w14:paraId="4616E094"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Macedonia</w:t>
            </w:r>
          </w:p>
        </w:tc>
        <w:tc>
          <w:tcPr>
            <w:tcW w:w="1701" w:type="dxa"/>
            <w:tcBorders>
              <w:top w:val="single" w:sz="4" w:space="0" w:color="auto"/>
              <w:left w:val="single" w:sz="4" w:space="0" w:color="auto"/>
              <w:bottom w:val="single" w:sz="4" w:space="0" w:color="auto"/>
              <w:right w:val="single" w:sz="4" w:space="0" w:color="auto"/>
            </w:tcBorders>
            <w:hideMark/>
          </w:tcPr>
          <w:p w14:paraId="76B26C8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KSS</w:t>
            </w:r>
          </w:p>
        </w:tc>
        <w:tc>
          <w:tcPr>
            <w:tcW w:w="1837" w:type="dxa"/>
            <w:tcBorders>
              <w:top w:val="single" w:sz="4" w:space="0" w:color="auto"/>
              <w:left w:val="single" w:sz="4" w:space="0" w:color="auto"/>
              <w:bottom w:val="single" w:sz="4" w:space="0" w:color="auto"/>
              <w:right w:val="single" w:sz="4" w:space="0" w:color="auto"/>
            </w:tcBorders>
            <w:hideMark/>
          </w:tcPr>
          <w:p w14:paraId="35FB2E7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2CF728C2"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0B080703"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17.</w:t>
            </w:r>
          </w:p>
        </w:tc>
        <w:tc>
          <w:tcPr>
            <w:tcW w:w="2400" w:type="dxa"/>
            <w:tcBorders>
              <w:top w:val="single" w:sz="4" w:space="0" w:color="auto"/>
              <w:left w:val="single" w:sz="4" w:space="0" w:color="auto"/>
              <w:bottom w:val="single" w:sz="4" w:space="0" w:color="auto"/>
              <w:right w:val="single" w:sz="4" w:space="0" w:color="auto"/>
            </w:tcBorders>
            <w:hideMark/>
          </w:tcPr>
          <w:p w14:paraId="4E01C798"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Jakim Nedelkov</w:t>
            </w:r>
          </w:p>
        </w:tc>
        <w:tc>
          <w:tcPr>
            <w:tcW w:w="2529" w:type="dxa"/>
            <w:tcBorders>
              <w:top w:val="single" w:sz="4" w:space="0" w:color="auto"/>
              <w:left w:val="single" w:sz="4" w:space="0" w:color="auto"/>
              <w:bottom w:val="single" w:sz="4" w:space="0" w:color="auto"/>
              <w:right w:val="single" w:sz="4" w:space="0" w:color="auto"/>
            </w:tcBorders>
            <w:hideMark/>
          </w:tcPr>
          <w:p w14:paraId="355301B4"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Macedonia</w:t>
            </w:r>
          </w:p>
        </w:tc>
        <w:tc>
          <w:tcPr>
            <w:tcW w:w="1701" w:type="dxa"/>
            <w:tcBorders>
              <w:top w:val="single" w:sz="4" w:space="0" w:color="auto"/>
              <w:left w:val="single" w:sz="4" w:space="0" w:color="auto"/>
              <w:bottom w:val="single" w:sz="4" w:space="0" w:color="auto"/>
              <w:right w:val="single" w:sz="4" w:space="0" w:color="auto"/>
            </w:tcBorders>
            <w:hideMark/>
          </w:tcPr>
          <w:p w14:paraId="4C752BB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KSS</w:t>
            </w:r>
          </w:p>
        </w:tc>
        <w:tc>
          <w:tcPr>
            <w:tcW w:w="1837" w:type="dxa"/>
            <w:tcBorders>
              <w:top w:val="single" w:sz="4" w:space="0" w:color="auto"/>
              <w:left w:val="single" w:sz="4" w:space="0" w:color="auto"/>
              <w:bottom w:val="single" w:sz="4" w:space="0" w:color="auto"/>
              <w:right w:val="single" w:sz="4" w:space="0" w:color="auto"/>
            </w:tcBorders>
            <w:hideMark/>
          </w:tcPr>
          <w:p w14:paraId="461BA0D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182D1408"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20E37897"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18.</w:t>
            </w:r>
          </w:p>
        </w:tc>
        <w:tc>
          <w:tcPr>
            <w:tcW w:w="2400" w:type="dxa"/>
            <w:tcBorders>
              <w:top w:val="single" w:sz="4" w:space="0" w:color="auto"/>
              <w:left w:val="single" w:sz="4" w:space="0" w:color="auto"/>
              <w:bottom w:val="single" w:sz="4" w:space="0" w:color="auto"/>
              <w:right w:val="single" w:sz="4" w:space="0" w:color="auto"/>
            </w:tcBorders>
            <w:hideMark/>
          </w:tcPr>
          <w:p w14:paraId="5195F1B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Denisa Darha</w:t>
            </w:r>
          </w:p>
        </w:tc>
        <w:tc>
          <w:tcPr>
            <w:tcW w:w="2529" w:type="dxa"/>
            <w:tcBorders>
              <w:top w:val="single" w:sz="4" w:space="0" w:color="auto"/>
              <w:left w:val="single" w:sz="4" w:space="0" w:color="auto"/>
              <w:bottom w:val="single" w:sz="4" w:space="0" w:color="auto"/>
              <w:right w:val="single" w:sz="4" w:space="0" w:color="auto"/>
            </w:tcBorders>
            <w:hideMark/>
          </w:tcPr>
          <w:p w14:paraId="0067413E"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Albania</w:t>
            </w:r>
          </w:p>
        </w:tc>
        <w:tc>
          <w:tcPr>
            <w:tcW w:w="1701" w:type="dxa"/>
            <w:tcBorders>
              <w:top w:val="single" w:sz="4" w:space="0" w:color="auto"/>
              <w:left w:val="single" w:sz="4" w:space="0" w:color="auto"/>
              <w:bottom w:val="single" w:sz="4" w:space="0" w:color="auto"/>
              <w:right w:val="single" w:sz="4" w:space="0" w:color="auto"/>
            </w:tcBorders>
            <w:hideMark/>
          </w:tcPr>
          <w:p w14:paraId="143EA4BE"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SAUATT</w:t>
            </w:r>
          </w:p>
        </w:tc>
        <w:tc>
          <w:tcPr>
            <w:tcW w:w="1837" w:type="dxa"/>
            <w:tcBorders>
              <w:top w:val="single" w:sz="4" w:space="0" w:color="auto"/>
              <w:left w:val="single" w:sz="4" w:space="0" w:color="auto"/>
              <w:bottom w:val="single" w:sz="4" w:space="0" w:color="auto"/>
              <w:right w:val="single" w:sz="4" w:space="0" w:color="auto"/>
            </w:tcBorders>
            <w:hideMark/>
          </w:tcPr>
          <w:p w14:paraId="4242CFD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41436F7C"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14662C2F"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19.</w:t>
            </w:r>
          </w:p>
        </w:tc>
        <w:tc>
          <w:tcPr>
            <w:tcW w:w="2400" w:type="dxa"/>
            <w:tcBorders>
              <w:top w:val="single" w:sz="4" w:space="0" w:color="auto"/>
              <w:left w:val="single" w:sz="4" w:space="0" w:color="auto"/>
              <w:bottom w:val="single" w:sz="4" w:space="0" w:color="auto"/>
              <w:right w:val="single" w:sz="4" w:space="0" w:color="auto"/>
            </w:tcBorders>
            <w:hideMark/>
          </w:tcPr>
          <w:p w14:paraId="2EB9C02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Armadela Kërnaja</w:t>
            </w:r>
          </w:p>
        </w:tc>
        <w:tc>
          <w:tcPr>
            <w:tcW w:w="2529" w:type="dxa"/>
            <w:tcBorders>
              <w:top w:val="single" w:sz="4" w:space="0" w:color="auto"/>
              <w:left w:val="single" w:sz="4" w:space="0" w:color="auto"/>
              <w:bottom w:val="single" w:sz="4" w:space="0" w:color="auto"/>
              <w:right w:val="single" w:sz="4" w:space="0" w:color="auto"/>
            </w:tcBorders>
            <w:hideMark/>
          </w:tcPr>
          <w:p w14:paraId="270E1B3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Albania</w:t>
            </w:r>
          </w:p>
        </w:tc>
        <w:tc>
          <w:tcPr>
            <w:tcW w:w="1701" w:type="dxa"/>
            <w:tcBorders>
              <w:top w:val="single" w:sz="4" w:space="0" w:color="auto"/>
              <w:left w:val="single" w:sz="4" w:space="0" w:color="auto"/>
              <w:bottom w:val="single" w:sz="4" w:space="0" w:color="auto"/>
              <w:right w:val="single" w:sz="4" w:space="0" w:color="auto"/>
            </w:tcBorders>
            <w:hideMark/>
          </w:tcPr>
          <w:p w14:paraId="63362461"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SAUATT</w:t>
            </w:r>
          </w:p>
        </w:tc>
        <w:tc>
          <w:tcPr>
            <w:tcW w:w="1837" w:type="dxa"/>
            <w:tcBorders>
              <w:top w:val="single" w:sz="4" w:space="0" w:color="auto"/>
              <w:left w:val="single" w:sz="4" w:space="0" w:color="auto"/>
              <w:bottom w:val="single" w:sz="4" w:space="0" w:color="auto"/>
              <w:right w:val="single" w:sz="4" w:space="0" w:color="auto"/>
            </w:tcBorders>
            <w:hideMark/>
          </w:tcPr>
          <w:p w14:paraId="2F1E8790"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09C253BB"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5318CF8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20.</w:t>
            </w:r>
          </w:p>
        </w:tc>
        <w:tc>
          <w:tcPr>
            <w:tcW w:w="2400" w:type="dxa"/>
            <w:tcBorders>
              <w:top w:val="single" w:sz="4" w:space="0" w:color="auto"/>
              <w:left w:val="single" w:sz="4" w:space="0" w:color="auto"/>
              <w:bottom w:val="single" w:sz="4" w:space="0" w:color="auto"/>
              <w:right w:val="single" w:sz="4" w:space="0" w:color="auto"/>
            </w:tcBorders>
            <w:hideMark/>
          </w:tcPr>
          <w:p w14:paraId="79DE1B99"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Miroslav Landeka</w:t>
            </w:r>
          </w:p>
        </w:tc>
        <w:tc>
          <w:tcPr>
            <w:tcW w:w="2529" w:type="dxa"/>
            <w:tcBorders>
              <w:top w:val="single" w:sz="4" w:space="0" w:color="auto"/>
              <w:left w:val="single" w:sz="4" w:space="0" w:color="auto"/>
              <w:bottom w:val="single" w:sz="4" w:space="0" w:color="auto"/>
              <w:right w:val="single" w:sz="4" w:space="0" w:color="auto"/>
            </w:tcBorders>
            <w:hideMark/>
          </w:tcPr>
          <w:p w14:paraId="58D5A734"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Bosnia and Herzegovina</w:t>
            </w:r>
          </w:p>
        </w:tc>
        <w:tc>
          <w:tcPr>
            <w:tcW w:w="1701" w:type="dxa"/>
            <w:tcBorders>
              <w:top w:val="single" w:sz="4" w:space="0" w:color="auto"/>
              <w:left w:val="single" w:sz="4" w:space="0" w:color="auto"/>
              <w:bottom w:val="single" w:sz="4" w:space="0" w:color="auto"/>
              <w:right w:val="single" w:sz="4" w:space="0" w:color="auto"/>
            </w:tcBorders>
            <w:hideMark/>
          </w:tcPr>
          <w:p w14:paraId="177C6204"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Trade Union Grad Mostar</w:t>
            </w:r>
          </w:p>
        </w:tc>
        <w:tc>
          <w:tcPr>
            <w:tcW w:w="1837" w:type="dxa"/>
            <w:tcBorders>
              <w:top w:val="single" w:sz="4" w:space="0" w:color="auto"/>
              <w:left w:val="single" w:sz="4" w:space="0" w:color="auto"/>
              <w:bottom w:val="single" w:sz="4" w:space="0" w:color="auto"/>
              <w:right w:val="single" w:sz="4" w:space="0" w:color="auto"/>
            </w:tcBorders>
          </w:tcPr>
          <w:p w14:paraId="19C8EB0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p w14:paraId="4BEE2305" w14:textId="77777777" w:rsidR="0054719F" w:rsidRPr="008D2E84" w:rsidRDefault="0054719F" w:rsidP="00CD52F3">
            <w:pPr>
              <w:jc w:val="both"/>
              <w:rPr>
                <w:rFonts w:ascii="Aptos" w:hAnsi="Aptos"/>
                <w:sz w:val="22"/>
                <w:szCs w:val="22"/>
                <w:lang w:val="sk-SK"/>
              </w:rPr>
            </w:pPr>
          </w:p>
        </w:tc>
      </w:tr>
      <w:tr w:rsidR="0054719F" w:rsidRPr="008D2E84" w14:paraId="0588CF78"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7F12E96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21.</w:t>
            </w:r>
          </w:p>
        </w:tc>
        <w:tc>
          <w:tcPr>
            <w:tcW w:w="2400" w:type="dxa"/>
            <w:tcBorders>
              <w:top w:val="single" w:sz="4" w:space="0" w:color="auto"/>
              <w:left w:val="single" w:sz="4" w:space="0" w:color="auto"/>
              <w:bottom w:val="single" w:sz="4" w:space="0" w:color="auto"/>
              <w:right w:val="single" w:sz="4" w:space="0" w:color="auto"/>
            </w:tcBorders>
            <w:hideMark/>
          </w:tcPr>
          <w:p w14:paraId="1390DE4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Mirjana Tipoč Landeka</w:t>
            </w:r>
          </w:p>
        </w:tc>
        <w:tc>
          <w:tcPr>
            <w:tcW w:w="2529" w:type="dxa"/>
            <w:tcBorders>
              <w:top w:val="single" w:sz="4" w:space="0" w:color="auto"/>
              <w:left w:val="single" w:sz="4" w:space="0" w:color="auto"/>
              <w:bottom w:val="single" w:sz="4" w:space="0" w:color="auto"/>
              <w:right w:val="single" w:sz="4" w:space="0" w:color="auto"/>
            </w:tcBorders>
            <w:hideMark/>
          </w:tcPr>
          <w:p w14:paraId="37ACE758"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Bosnia and Herzegovina</w:t>
            </w:r>
          </w:p>
        </w:tc>
        <w:tc>
          <w:tcPr>
            <w:tcW w:w="1701" w:type="dxa"/>
            <w:tcBorders>
              <w:top w:val="single" w:sz="4" w:space="0" w:color="auto"/>
              <w:left w:val="single" w:sz="4" w:space="0" w:color="auto"/>
              <w:bottom w:val="single" w:sz="4" w:space="0" w:color="auto"/>
              <w:right w:val="single" w:sz="4" w:space="0" w:color="auto"/>
            </w:tcBorders>
            <w:hideMark/>
          </w:tcPr>
          <w:p w14:paraId="7F33FDB9"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Trade Union Grad Mostar</w:t>
            </w:r>
          </w:p>
        </w:tc>
        <w:tc>
          <w:tcPr>
            <w:tcW w:w="1837" w:type="dxa"/>
            <w:tcBorders>
              <w:top w:val="single" w:sz="4" w:space="0" w:color="auto"/>
              <w:left w:val="single" w:sz="4" w:space="0" w:color="auto"/>
              <w:bottom w:val="single" w:sz="4" w:space="0" w:color="auto"/>
              <w:right w:val="single" w:sz="4" w:space="0" w:color="auto"/>
            </w:tcBorders>
            <w:hideMark/>
          </w:tcPr>
          <w:p w14:paraId="08998B7C"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42CD44E8"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6C8BE3A4"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22.</w:t>
            </w:r>
          </w:p>
        </w:tc>
        <w:tc>
          <w:tcPr>
            <w:tcW w:w="2400" w:type="dxa"/>
            <w:tcBorders>
              <w:top w:val="single" w:sz="4" w:space="0" w:color="auto"/>
              <w:left w:val="single" w:sz="4" w:space="0" w:color="auto"/>
              <w:bottom w:val="single" w:sz="4" w:space="0" w:color="auto"/>
              <w:right w:val="single" w:sz="4" w:space="0" w:color="auto"/>
            </w:tcBorders>
            <w:hideMark/>
          </w:tcPr>
          <w:p w14:paraId="4DA8FB7F"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 xml:space="preserve">Anto Ivić </w:t>
            </w:r>
          </w:p>
        </w:tc>
        <w:tc>
          <w:tcPr>
            <w:tcW w:w="2529" w:type="dxa"/>
            <w:tcBorders>
              <w:top w:val="single" w:sz="4" w:space="0" w:color="auto"/>
              <w:left w:val="single" w:sz="4" w:space="0" w:color="auto"/>
              <w:bottom w:val="single" w:sz="4" w:space="0" w:color="auto"/>
              <w:right w:val="single" w:sz="4" w:space="0" w:color="auto"/>
            </w:tcBorders>
            <w:hideMark/>
          </w:tcPr>
          <w:p w14:paraId="66C506C9"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Bosnia and Herzegovina</w:t>
            </w:r>
          </w:p>
        </w:tc>
        <w:tc>
          <w:tcPr>
            <w:tcW w:w="1701" w:type="dxa"/>
            <w:tcBorders>
              <w:top w:val="single" w:sz="4" w:space="0" w:color="auto"/>
              <w:left w:val="single" w:sz="4" w:space="0" w:color="auto"/>
              <w:bottom w:val="single" w:sz="4" w:space="0" w:color="auto"/>
              <w:right w:val="single" w:sz="4" w:space="0" w:color="auto"/>
            </w:tcBorders>
            <w:hideMark/>
          </w:tcPr>
          <w:p w14:paraId="2FA22A15"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HT MOSTAR</w:t>
            </w:r>
          </w:p>
        </w:tc>
        <w:tc>
          <w:tcPr>
            <w:tcW w:w="1837" w:type="dxa"/>
            <w:tcBorders>
              <w:top w:val="single" w:sz="4" w:space="0" w:color="auto"/>
              <w:left w:val="single" w:sz="4" w:space="0" w:color="auto"/>
              <w:bottom w:val="single" w:sz="4" w:space="0" w:color="auto"/>
              <w:right w:val="single" w:sz="4" w:space="0" w:color="auto"/>
            </w:tcBorders>
            <w:hideMark/>
          </w:tcPr>
          <w:p w14:paraId="7B353208"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71E56E16"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57D9569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23.</w:t>
            </w:r>
          </w:p>
        </w:tc>
        <w:tc>
          <w:tcPr>
            <w:tcW w:w="2400" w:type="dxa"/>
            <w:tcBorders>
              <w:top w:val="single" w:sz="4" w:space="0" w:color="auto"/>
              <w:left w:val="single" w:sz="4" w:space="0" w:color="auto"/>
              <w:bottom w:val="single" w:sz="4" w:space="0" w:color="auto"/>
              <w:right w:val="single" w:sz="4" w:space="0" w:color="auto"/>
            </w:tcBorders>
            <w:hideMark/>
          </w:tcPr>
          <w:p w14:paraId="47DCB92D"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 xml:space="preserve">Gordana Ivić </w:t>
            </w:r>
          </w:p>
        </w:tc>
        <w:tc>
          <w:tcPr>
            <w:tcW w:w="2529" w:type="dxa"/>
            <w:tcBorders>
              <w:top w:val="single" w:sz="4" w:space="0" w:color="auto"/>
              <w:left w:val="single" w:sz="4" w:space="0" w:color="auto"/>
              <w:bottom w:val="single" w:sz="4" w:space="0" w:color="auto"/>
              <w:right w:val="single" w:sz="4" w:space="0" w:color="auto"/>
            </w:tcBorders>
            <w:hideMark/>
          </w:tcPr>
          <w:p w14:paraId="79B8BBA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Bosnia and Herzegovina</w:t>
            </w:r>
          </w:p>
        </w:tc>
        <w:tc>
          <w:tcPr>
            <w:tcW w:w="1701" w:type="dxa"/>
            <w:tcBorders>
              <w:top w:val="single" w:sz="4" w:space="0" w:color="auto"/>
              <w:left w:val="single" w:sz="4" w:space="0" w:color="auto"/>
              <w:bottom w:val="single" w:sz="4" w:space="0" w:color="auto"/>
              <w:right w:val="single" w:sz="4" w:space="0" w:color="auto"/>
            </w:tcBorders>
            <w:hideMark/>
          </w:tcPr>
          <w:p w14:paraId="3F03DA5F"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HT MOSTAR</w:t>
            </w:r>
          </w:p>
        </w:tc>
        <w:tc>
          <w:tcPr>
            <w:tcW w:w="1837" w:type="dxa"/>
            <w:tcBorders>
              <w:top w:val="single" w:sz="4" w:space="0" w:color="auto"/>
              <w:left w:val="single" w:sz="4" w:space="0" w:color="auto"/>
              <w:bottom w:val="single" w:sz="4" w:space="0" w:color="auto"/>
              <w:right w:val="single" w:sz="4" w:space="0" w:color="auto"/>
            </w:tcBorders>
            <w:hideMark/>
          </w:tcPr>
          <w:p w14:paraId="11DD4D26"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personal</w:t>
            </w:r>
          </w:p>
        </w:tc>
      </w:tr>
      <w:tr w:rsidR="0054719F" w:rsidRPr="008D2E84" w14:paraId="4C30AABC" w14:textId="77777777" w:rsidTr="00CD52F3">
        <w:tc>
          <w:tcPr>
            <w:tcW w:w="595" w:type="dxa"/>
            <w:tcBorders>
              <w:top w:val="single" w:sz="4" w:space="0" w:color="auto"/>
              <w:left w:val="single" w:sz="4" w:space="0" w:color="auto"/>
              <w:bottom w:val="single" w:sz="4" w:space="0" w:color="auto"/>
              <w:right w:val="single" w:sz="4" w:space="0" w:color="auto"/>
            </w:tcBorders>
            <w:hideMark/>
          </w:tcPr>
          <w:p w14:paraId="09BD468B"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24.</w:t>
            </w:r>
          </w:p>
        </w:tc>
        <w:tc>
          <w:tcPr>
            <w:tcW w:w="2400" w:type="dxa"/>
            <w:tcBorders>
              <w:top w:val="single" w:sz="4" w:space="0" w:color="auto"/>
              <w:left w:val="single" w:sz="4" w:space="0" w:color="auto"/>
              <w:bottom w:val="single" w:sz="4" w:space="0" w:color="auto"/>
              <w:right w:val="single" w:sz="4" w:space="0" w:color="auto"/>
            </w:tcBorders>
            <w:hideMark/>
          </w:tcPr>
          <w:p w14:paraId="3D480269"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András Bardócz-Tódor</w:t>
            </w:r>
          </w:p>
        </w:tc>
        <w:tc>
          <w:tcPr>
            <w:tcW w:w="2529" w:type="dxa"/>
            <w:tcBorders>
              <w:top w:val="single" w:sz="4" w:space="0" w:color="auto"/>
              <w:left w:val="single" w:sz="4" w:space="0" w:color="auto"/>
              <w:bottom w:val="single" w:sz="4" w:space="0" w:color="auto"/>
              <w:right w:val="single" w:sz="4" w:space="0" w:color="auto"/>
            </w:tcBorders>
            <w:hideMark/>
          </w:tcPr>
          <w:p w14:paraId="0E914DA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Hungary</w:t>
            </w:r>
          </w:p>
        </w:tc>
        <w:tc>
          <w:tcPr>
            <w:tcW w:w="1701" w:type="dxa"/>
            <w:tcBorders>
              <w:top w:val="single" w:sz="4" w:space="0" w:color="auto"/>
              <w:left w:val="single" w:sz="4" w:space="0" w:color="auto"/>
              <w:bottom w:val="single" w:sz="4" w:space="0" w:color="auto"/>
              <w:right w:val="single" w:sz="4" w:space="0" w:color="auto"/>
            </w:tcBorders>
            <w:hideMark/>
          </w:tcPr>
          <w:p w14:paraId="775D2C3A"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Hungarian Folk High School</w:t>
            </w:r>
          </w:p>
          <w:p w14:paraId="4C76931F"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Society</w:t>
            </w:r>
          </w:p>
        </w:tc>
        <w:tc>
          <w:tcPr>
            <w:tcW w:w="1837" w:type="dxa"/>
            <w:tcBorders>
              <w:top w:val="single" w:sz="4" w:space="0" w:color="auto"/>
              <w:left w:val="single" w:sz="4" w:space="0" w:color="auto"/>
              <w:bottom w:val="single" w:sz="4" w:space="0" w:color="auto"/>
              <w:right w:val="single" w:sz="4" w:space="0" w:color="auto"/>
            </w:tcBorders>
            <w:hideMark/>
          </w:tcPr>
          <w:p w14:paraId="7BF6F562" w14:textId="77777777" w:rsidR="0054719F" w:rsidRPr="008D2E84" w:rsidRDefault="0054719F" w:rsidP="00CD52F3">
            <w:pPr>
              <w:jc w:val="both"/>
              <w:rPr>
                <w:rFonts w:ascii="Aptos" w:hAnsi="Aptos"/>
                <w:sz w:val="22"/>
                <w:szCs w:val="22"/>
                <w:lang w:val="sk-SK"/>
              </w:rPr>
            </w:pPr>
            <w:r w:rsidRPr="008D2E84">
              <w:rPr>
                <w:rFonts w:ascii="Aptos" w:hAnsi="Aptos"/>
                <w:sz w:val="22"/>
                <w:szCs w:val="22"/>
                <w:lang w:val="sk-SK"/>
              </w:rPr>
              <w:t>online</w:t>
            </w:r>
          </w:p>
        </w:tc>
      </w:tr>
    </w:tbl>
    <w:p w14:paraId="1FC70F65" w14:textId="77777777" w:rsidR="0054719F" w:rsidRPr="00C61D5D" w:rsidRDefault="0054719F" w:rsidP="008D2E84">
      <w:pPr>
        <w:spacing w:line="240" w:lineRule="auto"/>
        <w:jc w:val="both"/>
        <w:rPr>
          <w:rFonts w:ascii="Aptos" w:hAnsi="Aptos" w:cs="Arial"/>
        </w:rPr>
      </w:pPr>
    </w:p>
    <w:p w14:paraId="70477983" w14:textId="77777777" w:rsidR="00973998" w:rsidRPr="00447D20" w:rsidRDefault="00973998" w:rsidP="008D2E84">
      <w:pPr>
        <w:spacing w:line="240" w:lineRule="auto"/>
        <w:jc w:val="both"/>
        <w:rPr>
          <w:rFonts w:ascii="Aptos" w:hAnsi="Aptos"/>
          <w:b/>
          <w:bCs/>
        </w:rPr>
      </w:pPr>
      <w:r w:rsidRPr="00447D20">
        <w:rPr>
          <w:rFonts w:ascii="Aptos" w:hAnsi="Aptos"/>
          <w:b/>
          <w:bCs/>
        </w:rPr>
        <w:t>Thematic Overview and Core Topics Discussed</w:t>
      </w:r>
    </w:p>
    <w:p w14:paraId="195CFBD4" w14:textId="42AFE095" w:rsidR="0033709C" w:rsidRPr="00447D20" w:rsidRDefault="0033709C" w:rsidP="008D2E84">
      <w:pPr>
        <w:spacing w:line="240" w:lineRule="auto"/>
        <w:jc w:val="both"/>
        <w:rPr>
          <w:rFonts w:ascii="Aptos" w:hAnsi="Aptos"/>
        </w:rPr>
      </w:pPr>
      <w:r w:rsidRPr="00447D20">
        <w:rPr>
          <w:rFonts w:ascii="Aptos" w:hAnsi="Aptos"/>
        </w:rPr>
        <w:t>The following overview highlights the core thematic pillars of the seminar, which focused on transforming security theory into actionable workplace practices. Each section outlines a critical area of training designed to immediately enhance safety and crisis preparedness within educational and public institutions.</w:t>
      </w:r>
    </w:p>
    <w:p w14:paraId="7A34A5F9" w14:textId="53EE9A99" w:rsidR="0033709C" w:rsidRPr="00B64A9A" w:rsidRDefault="0033709C" w:rsidP="008D2E84">
      <w:pPr>
        <w:pStyle w:val="Odsekzoznamu"/>
        <w:numPr>
          <w:ilvl w:val="0"/>
          <w:numId w:val="3"/>
        </w:numPr>
        <w:spacing w:line="240" w:lineRule="auto"/>
        <w:jc w:val="both"/>
        <w:rPr>
          <w:rFonts w:ascii="Aptos" w:hAnsi="Aptos"/>
        </w:rPr>
      </w:pPr>
      <w:r w:rsidRPr="00B64A9A">
        <w:rPr>
          <w:rFonts w:ascii="Aptos" w:hAnsi="Aptos"/>
        </w:rPr>
        <w:t>Defining and Vulnerability of Soft Targets: Defining the concept of soft targets and identifying risks in schools, including attacks, bullying, extremism, and vandalism. (prof. Ing. Andrej Veľas, PhD.)</w:t>
      </w:r>
    </w:p>
    <w:p w14:paraId="50D031D9" w14:textId="03ADB1C8" w:rsidR="0033709C" w:rsidRPr="00B64A9A" w:rsidRDefault="0033709C" w:rsidP="008D2E84">
      <w:pPr>
        <w:pStyle w:val="Odsekzoznamu"/>
        <w:numPr>
          <w:ilvl w:val="0"/>
          <w:numId w:val="3"/>
        </w:numPr>
        <w:spacing w:line="240" w:lineRule="auto"/>
        <w:jc w:val="both"/>
        <w:rPr>
          <w:rFonts w:ascii="Aptos" w:hAnsi="Aptos"/>
        </w:rPr>
      </w:pPr>
      <w:r w:rsidRPr="00B64A9A">
        <w:rPr>
          <w:rFonts w:ascii="Aptos" w:hAnsi="Aptos"/>
        </w:rPr>
        <w:t>Adaptation of Security Protocols: Transferring crisis management, evacuation procedures, and monitoring technologies from industry ("hard targets") into the school environment. (Study visit to Mondi SCP a.s.)</w:t>
      </w:r>
    </w:p>
    <w:p w14:paraId="5E153D5A" w14:textId="398A0319" w:rsidR="0033709C" w:rsidRPr="00B64A9A" w:rsidRDefault="0033709C" w:rsidP="008D2E84">
      <w:pPr>
        <w:pStyle w:val="Odsekzoznamu"/>
        <w:numPr>
          <w:ilvl w:val="0"/>
          <w:numId w:val="3"/>
        </w:numPr>
        <w:spacing w:line="240" w:lineRule="auto"/>
        <w:jc w:val="both"/>
        <w:rPr>
          <w:rFonts w:ascii="Aptos" w:hAnsi="Aptos"/>
        </w:rPr>
      </w:pPr>
      <w:r w:rsidRPr="00B64A9A">
        <w:rPr>
          <w:rFonts w:ascii="Aptos" w:hAnsi="Aptos"/>
        </w:rPr>
        <w:t>Survival Strategies During Attacks: Practical procedures for employees on how to face aggression, workplace violence, and active shooter situations. (Michal Jaššák)</w:t>
      </w:r>
    </w:p>
    <w:p w14:paraId="6FDF98A2" w14:textId="7EA5ADD2" w:rsidR="0033709C" w:rsidRPr="00B64A9A" w:rsidRDefault="0033709C" w:rsidP="008D2E84">
      <w:pPr>
        <w:pStyle w:val="Odsekzoznamu"/>
        <w:numPr>
          <w:ilvl w:val="0"/>
          <w:numId w:val="3"/>
        </w:numPr>
        <w:spacing w:line="240" w:lineRule="auto"/>
        <w:jc w:val="both"/>
        <w:rPr>
          <w:rFonts w:ascii="Aptos" w:hAnsi="Aptos"/>
        </w:rPr>
      </w:pPr>
      <w:r w:rsidRPr="00B64A9A">
        <w:rPr>
          <w:rFonts w:ascii="Aptos" w:hAnsi="Aptos"/>
        </w:rPr>
        <w:lastRenderedPageBreak/>
        <w:t>Social Dialogue and Crisis Planning: The role of OHS (Occupational Health and Safety) union inspectors and employee representatives in creating internal security plans and collective bargaining. (Panel discussion I and II)</w:t>
      </w:r>
    </w:p>
    <w:p w14:paraId="6FEF711D" w14:textId="350A4607" w:rsidR="0033709C" w:rsidRPr="00B64A9A" w:rsidRDefault="0033709C" w:rsidP="008D2E84">
      <w:pPr>
        <w:pStyle w:val="Odsekzoznamu"/>
        <w:numPr>
          <w:ilvl w:val="0"/>
          <w:numId w:val="3"/>
        </w:numPr>
        <w:spacing w:line="240" w:lineRule="auto"/>
        <w:jc w:val="both"/>
        <w:rPr>
          <w:rFonts w:ascii="Aptos" w:hAnsi="Aptos"/>
        </w:rPr>
      </w:pPr>
      <w:r w:rsidRPr="00B64A9A">
        <w:rPr>
          <w:rFonts w:ascii="Aptos" w:hAnsi="Aptos"/>
        </w:rPr>
        <w:t>Integrated Workplace Protection: Implementing specific technical and organizational measures to increase overall safety and security. (Peter Ďubek)</w:t>
      </w:r>
    </w:p>
    <w:p w14:paraId="4FD365E3" w14:textId="12D3A655" w:rsidR="0033709C" w:rsidRPr="00B64A9A" w:rsidRDefault="0033709C" w:rsidP="008D2E84">
      <w:pPr>
        <w:pStyle w:val="Odsekzoznamu"/>
        <w:numPr>
          <w:ilvl w:val="0"/>
          <w:numId w:val="3"/>
        </w:numPr>
        <w:spacing w:line="240" w:lineRule="auto"/>
        <w:jc w:val="both"/>
        <w:rPr>
          <w:rFonts w:ascii="Aptos" w:hAnsi="Aptos"/>
        </w:rPr>
      </w:pPr>
      <w:r w:rsidRPr="00B64A9A">
        <w:rPr>
          <w:rFonts w:ascii="Aptos" w:hAnsi="Aptos"/>
        </w:rPr>
        <w:t>First Aid: Practical protocols for emergency medical response and first aid immediately following an incident. (MUDr. Noemi Šimunková)</w:t>
      </w:r>
    </w:p>
    <w:p w14:paraId="36415FCD" w14:textId="77777777" w:rsidR="0057420C" w:rsidRPr="00447D20" w:rsidRDefault="0057420C" w:rsidP="008D2E84">
      <w:pPr>
        <w:spacing w:line="240" w:lineRule="auto"/>
        <w:jc w:val="both"/>
        <w:rPr>
          <w:rFonts w:ascii="Aptos" w:hAnsi="Aptos"/>
          <w:b/>
          <w:bCs/>
        </w:rPr>
      </w:pPr>
      <w:r w:rsidRPr="00447D20">
        <w:rPr>
          <w:rFonts w:ascii="Aptos" w:hAnsi="Aptos"/>
          <w:b/>
          <w:bCs/>
        </w:rPr>
        <w:t>The most important point: Seminar results</w:t>
      </w:r>
    </w:p>
    <w:p w14:paraId="1B56645C" w14:textId="5C54CECC" w:rsidR="0033709C" w:rsidRPr="00447D20" w:rsidRDefault="0033709C" w:rsidP="008D2E84">
      <w:pPr>
        <w:spacing w:line="240" w:lineRule="auto"/>
        <w:jc w:val="both"/>
        <w:rPr>
          <w:rFonts w:ascii="Aptos" w:hAnsi="Aptos"/>
        </w:rPr>
      </w:pPr>
      <w:r w:rsidRPr="00447D20">
        <w:rPr>
          <w:rFonts w:ascii="Aptos" w:hAnsi="Aptos"/>
        </w:rPr>
        <w:t>The main outcome of the seminar was the development of concrete guidelines for schools, politicians, and unions on how to immediately improve workplace safety. Participants gained practical skills needed to handle crisis situations, including responding to an active shooter attack, implementing technical measures, and providing first aid directly on-site. Another major benefit was strengthening the role of unions; employee representatives and safety inspectors gained ready-made templates to easily create custom crisis plans within their organizations. Furthermore, the seminar fostered effective international cooperation by allowing representatives from European countries to share their experiences, which will help better implement joint security policies in the future.</w:t>
      </w:r>
    </w:p>
    <w:p w14:paraId="2C8E6C93" w14:textId="6D3EBFF1" w:rsidR="0057420C" w:rsidRPr="00447D20" w:rsidRDefault="0057420C" w:rsidP="008D2E84">
      <w:pPr>
        <w:spacing w:line="240" w:lineRule="auto"/>
        <w:jc w:val="both"/>
        <w:rPr>
          <w:rFonts w:ascii="Aptos" w:hAnsi="Aptos"/>
        </w:rPr>
      </w:pPr>
      <w:r w:rsidRPr="00447D20">
        <w:rPr>
          <w:rFonts w:ascii="Aptos" w:hAnsi="Aptos"/>
        </w:rPr>
        <w:t>Results of discussions, work groups, workshops etc.</w:t>
      </w:r>
    </w:p>
    <w:p w14:paraId="2AD4726C" w14:textId="7FE783E2" w:rsidR="00447D20" w:rsidRPr="00447D20" w:rsidRDefault="00447D20" w:rsidP="008D2E84">
      <w:pPr>
        <w:pStyle w:val="Odsekzoznamu"/>
        <w:numPr>
          <w:ilvl w:val="0"/>
          <w:numId w:val="2"/>
        </w:numPr>
        <w:spacing w:line="240" w:lineRule="auto"/>
        <w:jc w:val="both"/>
        <w:rPr>
          <w:rFonts w:ascii="Aptos" w:hAnsi="Aptos"/>
        </w:rPr>
      </w:pPr>
      <w:r w:rsidRPr="00447D20">
        <w:rPr>
          <w:rFonts w:ascii="Aptos" w:hAnsi="Aptos"/>
          <w:b/>
          <w:bCs/>
        </w:rPr>
        <w:t>Agreement on Social Dialogue Priorities:</w:t>
      </w:r>
      <w:r w:rsidRPr="00447D20">
        <w:rPr>
          <w:rFonts w:ascii="Aptos" w:hAnsi="Aptos"/>
        </w:rPr>
        <w:t xml:space="preserve"> During panel discussions with international participation (representatives from 8 countries), a common conclusion was reached that protecting soft targets and ensuring worker safety against aggression must be an integral part of collective bargaining and social dialogue at both national and European levels.</w:t>
      </w:r>
    </w:p>
    <w:p w14:paraId="33365FBE" w14:textId="05253825" w:rsidR="00447D20" w:rsidRPr="00447D20" w:rsidRDefault="00447D20" w:rsidP="008D2E84">
      <w:pPr>
        <w:pStyle w:val="Odsekzoznamu"/>
        <w:numPr>
          <w:ilvl w:val="0"/>
          <w:numId w:val="2"/>
        </w:numPr>
        <w:spacing w:line="240" w:lineRule="auto"/>
        <w:jc w:val="both"/>
        <w:rPr>
          <w:rFonts w:ascii="Aptos" w:hAnsi="Aptos"/>
        </w:rPr>
      </w:pPr>
      <w:r w:rsidRPr="00447D20">
        <w:rPr>
          <w:rFonts w:ascii="Aptos" w:hAnsi="Aptos"/>
          <w:b/>
          <w:bCs/>
        </w:rPr>
        <w:t>Defining the Competencies of Employee Representatives:</w:t>
      </w:r>
      <w:r w:rsidRPr="00447D20">
        <w:rPr>
          <w:rFonts w:ascii="Aptos" w:hAnsi="Aptos"/>
        </w:rPr>
        <w:t xml:space="preserve"> The debates resulted in a clear definition of the key role of OHS (Occupational Health and Safety) union inspectors and employee representatives, who are expected to share direct responsibility and actively participate in creating internal crisis plans within organizations.</w:t>
      </w:r>
    </w:p>
    <w:p w14:paraId="4803D2F1" w14:textId="00A64156" w:rsidR="00447D20" w:rsidRPr="00447D20" w:rsidRDefault="00447D20" w:rsidP="008D2E84">
      <w:pPr>
        <w:pStyle w:val="Odsekzoznamu"/>
        <w:numPr>
          <w:ilvl w:val="0"/>
          <w:numId w:val="2"/>
        </w:numPr>
        <w:spacing w:line="240" w:lineRule="auto"/>
        <w:jc w:val="both"/>
        <w:rPr>
          <w:rFonts w:ascii="Aptos" w:hAnsi="Aptos"/>
        </w:rPr>
      </w:pPr>
      <w:r w:rsidRPr="00447D20">
        <w:rPr>
          <w:rFonts w:ascii="Aptos" w:hAnsi="Aptos"/>
          <w:b/>
          <w:bCs/>
        </w:rPr>
        <w:t>Application of Practical Crisis Protocols:</w:t>
      </w:r>
      <w:r w:rsidRPr="00447D20">
        <w:rPr>
          <w:rFonts w:ascii="Aptos" w:hAnsi="Aptos"/>
        </w:rPr>
        <w:t xml:space="preserve"> Within the practically oriented blocks, participants successfully tested procedures and survival strategies for active shooter attacks, the implementation of technical and organizational measures to protect the workplace, and specific first-aid protocols prepared for employee representatives.</w:t>
      </w:r>
    </w:p>
    <w:p w14:paraId="55C03600" w14:textId="0D6BEE6B" w:rsidR="00447D20" w:rsidRPr="00447D20" w:rsidRDefault="00447D20" w:rsidP="008D2E84">
      <w:pPr>
        <w:pStyle w:val="Odsekzoznamu"/>
        <w:numPr>
          <w:ilvl w:val="0"/>
          <w:numId w:val="2"/>
        </w:numPr>
        <w:spacing w:line="240" w:lineRule="auto"/>
        <w:jc w:val="both"/>
        <w:rPr>
          <w:rFonts w:ascii="Aptos" w:hAnsi="Aptos"/>
        </w:rPr>
      </w:pPr>
      <w:r w:rsidRPr="00447D20">
        <w:rPr>
          <w:rFonts w:ascii="Aptos" w:hAnsi="Aptos"/>
          <w:b/>
          <w:bCs/>
        </w:rPr>
        <w:t>Formulating Final Recommendations:</w:t>
      </w:r>
      <w:r w:rsidRPr="00447D20">
        <w:rPr>
          <w:rFonts w:ascii="Aptos" w:hAnsi="Aptos"/>
        </w:rPr>
        <w:t xml:space="preserve"> The outputs from expert panels and discussions led to the creation of a concrete set of recommendations for political representatives and social partners, aiming to systematically increase the protection of employees and students across the entire EU.</w:t>
      </w:r>
    </w:p>
    <w:p w14:paraId="66F1D97C" w14:textId="77777777" w:rsidR="00152576" w:rsidRPr="00447D20" w:rsidRDefault="00152576" w:rsidP="008D2E84">
      <w:pPr>
        <w:spacing w:line="240" w:lineRule="auto"/>
        <w:jc w:val="both"/>
        <w:rPr>
          <w:rFonts w:ascii="Aptos" w:hAnsi="Aptos"/>
        </w:rPr>
      </w:pPr>
    </w:p>
    <w:p w14:paraId="1E3A8E40" w14:textId="77777777" w:rsidR="00447D20" w:rsidRDefault="00447D20" w:rsidP="008D2E84">
      <w:pPr>
        <w:spacing w:line="240" w:lineRule="auto"/>
        <w:jc w:val="both"/>
        <w:rPr>
          <w:rFonts w:ascii="Aptos" w:hAnsi="Aptos"/>
          <w:b/>
          <w:bCs/>
        </w:rPr>
      </w:pPr>
      <w:r w:rsidRPr="00447D20">
        <w:rPr>
          <w:rFonts w:ascii="Aptos" w:hAnsi="Aptos"/>
          <w:b/>
          <w:bCs/>
        </w:rPr>
        <w:t>Key Demands and Required Measures</w:t>
      </w:r>
    </w:p>
    <w:p w14:paraId="59CC5FB3" w14:textId="47E102F0" w:rsidR="00152576" w:rsidRPr="00447D20" w:rsidRDefault="00447D20" w:rsidP="008D2E84">
      <w:pPr>
        <w:spacing w:line="240" w:lineRule="auto"/>
        <w:jc w:val="both"/>
        <w:rPr>
          <w:rFonts w:ascii="Aptos" w:hAnsi="Aptos"/>
        </w:rPr>
      </w:pPr>
      <w:r w:rsidRPr="00447D20">
        <w:rPr>
          <w:rFonts w:ascii="Aptos" w:hAnsi="Aptos"/>
        </w:rPr>
        <w:t xml:space="preserve">There is an urgent demand for robust and proactive solutions, requiring the immediate implementation of concrete measures at all levels—from individual schools to national and European frameworks—to address growing pressures and the threat of school attacks. To support this, protecting soft targets and ensuring worker safety against aggression and violence must be recognized as a key priority within social dialogue and collective bargaining agreements. Furthermore, employee representatives and OHS </w:t>
      </w:r>
      <w:r w:rsidRPr="00447D20">
        <w:rPr>
          <w:rFonts w:ascii="Aptos" w:hAnsi="Aptos"/>
        </w:rPr>
        <w:lastRenderedPageBreak/>
        <w:t>(Occupational Health and Safety) union inspectors must be granted stronger competencies and a direct say in creating internal crisis plans within organizations. Finally, organizations call for the systematic introduction of technical and organizational measures, including comprehensive employee training for handling attacks (such as active shooter situations) and access to standardized templates for developing security protocols.</w:t>
      </w:r>
    </w:p>
    <w:p w14:paraId="385B2530" w14:textId="77777777" w:rsidR="00447D20" w:rsidRPr="00447D20" w:rsidRDefault="00447D20" w:rsidP="008D2E84">
      <w:pPr>
        <w:spacing w:line="240" w:lineRule="auto"/>
        <w:jc w:val="both"/>
        <w:rPr>
          <w:rFonts w:ascii="Aptos" w:hAnsi="Aptos"/>
          <w:b/>
          <w:bCs/>
        </w:rPr>
      </w:pPr>
      <w:r w:rsidRPr="00447D20">
        <w:rPr>
          <w:rFonts w:ascii="Aptos" w:hAnsi="Aptos"/>
          <w:b/>
          <w:bCs/>
        </w:rPr>
        <w:t>Practical Implications and Implementation of Results in Daily Work</w:t>
      </w:r>
    </w:p>
    <w:p w14:paraId="079634DF" w14:textId="77777777" w:rsidR="00E56AC0" w:rsidRDefault="00E56AC0" w:rsidP="008D2E84">
      <w:pPr>
        <w:spacing w:line="240" w:lineRule="auto"/>
        <w:jc w:val="both"/>
        <w:rPr>
          <w:rFonts w:ascii="Aptos" w:hAnsi="Aptos"/>
        </w:rPr>
      </w:pPr>
      <w:r w:rsidRPr="00E56AC0">
        <w:rPr>
          <w:rFonts w:ascii="Aptos" w:hAnsi="Aptos"/>
        </w:rPr>
        <w:t>Based on the seminar outcomes and the recommendations developed, the implications for the daily work of the participants and their organizations are as follows:</w:t>
      </w:r>
    </w:p>
    <w:p w14:paraId="0DF22DEB" w14:textId="092FBDEF" w:rsidR="00152576" w:rsidRPr="00E56AC0" w:rsidRDefault="00E56AC0" w:rsidP="008D2E84">
      <w:pPr>
        <w:spacing w:line="240" w:lineRule="auto"/>
        <w:jc w:val="both"/>
        <w:rPr>
          <w:rFonts w:ascii="Aptos" w:hAnsi="Aptos"/>
        </w:rPr>
      </w:pPr>
      <w:r w:rsidRPr="00E56AC0">
        <w:rPr>
          <w:rFonts w:ascii="Aptos" w:hAnsi="Aptos"/>
        </w:rPr>
        <w:t>Based on the seminar outcomes and the recommendations developed, implementation into the daily work of the participants and their organizations will bring several key changes. First and foremost, organizations will need to transition from passive security measures to proactive crisis plans that take into account the specific risks faced by soft targets. For trade unions, this creates a clear obligation to more actively push for occupational health and safety (OHS) issues to be integrated into collective bargaining agreements and regular meetings with management. Last but not least, employee representatives will recommend that their employers provide regular training for staff in situational alertness and proper threat response, which will directly contribute to building a strong and proactive workplace security culture.</w:t>
      </w:r>
    </w:p>
    <w:p w14:paraId="56E6CBAB" w14:textId="77777777" w:rsidR="0057420C" w:rsidRPr="00447D20" w:rsidRDefault="0057420C" w:rsidP="008D2E84">
      <w:pPr>
        <w:spacing w:line="240" w:lineRule="auto"/>
        <w:jc w:val="both"/>
        <w:rPr>
          <w:rFonts w:ascii="Aptos" w:hAnsi="Aptos"/>
        </w:rPr>
      </w:pPr>
      <w:r w:rsidRPr="00447D20">
        <w:rPr>
          <w:rFonts w:ascii="Aptos" w:hAnsi="Aptos"/>
        </w:rPr>
        <w:t>Are there any photos? If yes, please make available.</w:t>
      </w:r>
    </w:p>
    <w:p w14:paraId="6F204060" w14:textId="181188C4" w:rsidR="0057420C" w:rsidRPr="00447D20" w:rsidRDefault="0057420C" w:rsidP="008D2E84">
      <w:pPr>
        <w:spacing w:line="240" w:lineRule="auto"/>
        <w:jc w:val="both"/>
        <w:rPr>
          <w:rFonts w:ascii="Aptos" w:hAnsi="Aptos"/>
        </w:rPr>
      </w:pPr>
    </w:p>
    <w:p w14:paraId="43529A3C" w14:textId="77777777" w:rsidR="0057420C" w:rsidRPr="00447D20" w:rsidRDefault="0057420C" w:rsidP="008D2E84">
      <w:pPr>
        <w:spacing w:line="240" w:lineRule="auto"/>
        <w:jc w:val="both"/>
        <w:rPr>
          <w:rFonts w:ascii="Aptos" w:hAnsi="Aptos"/>
        </w:rPr>
      </w:pPr>
      <w:r w:rsidRPr="00447D20">
        <w:rPr>
          <w:rFonts w:ascii="Aptos" w:hAnsi="Aptos"/>
        </w:rPr>
        <w:t>Did an article appear in the press? If yes, please make available.</w:t>
      </w:r>
    </w:p>
    <w:p w14:paraId="52F3D746" w14:textId="0601BA82" w:rsidR="0057420C" w:rsidRPr="00447D20" w:rsidRDefault="00B64A9A" w:rsidP="008D2E84">
      <w:pPr>
        <w:spacing w:line="240" w:lineRule="auto"/>
        <w:jc w:val="both"/>
        <w:rPr>
          <w:rFonts w:ascii="Aptos" w:hAnsi="Aptos"/>
        </w:rPr>
      </w:pPr>
      <w:hyperlink r:id="rId7" w:history="1">
        <w:r w:rsidRPr="00B64A9A">
          <w:rPr>
            <w:rStyle w:val="Hypertextovprepojenie"/>
            <w:rFonts w:ascii="Aptos" w:hAnsi="Aptos"/>
          </w:rPr>
          <w:t>https://www.nkos.sk/2026/06/18/bezpecnost-a-ochrana-makkych-cielov-v-organizaciach-ako-naliehava-priorita-dnesnych-dni/</w:t>
        </w:r>
      </w:hyperlink>
    </w:p>
    <w:p w14:paraId="70CFDC65" w14:textId="6154E46A" w:rsidR="000463E6" w:rsidRDefault="00B64A9A" w:rsidP="008D2E84">
      <w:pPr>
        <w:spacing w:line="240" w:lineRule="auto"/>
        <w:jc w:val="both"/>
        <w:rPr>
          <w:rFonts w:ascii="Aptos" w:hAnsi="Aptos"/>
        </w:rPr>
      </w:pPr>
      <w:r>
        <w:rPr>
          <w:rFonts w:ascii="Aptos" w:hAnsi="Aptos"/>
        </w:rPr>
        <w:t>Ľubica Černá</w:t>
      </w:r>
    </w:p>
    <w:p w14:paraId="7CC05980" w14:textId="796697BE" w:rsidR="000C4E2A" w:rsidRDefault="000C4E2A" w:rsidP="008D2E84">
      <w:pPr>
        <w:spacing w:line="240" w:lineRule="auto"/>
        <w:jc w:val="both"/>
        <w:rPr>
          <w:rFonts w:ascii="Aptos" w:hAnsi="Aptos"/>
        </w:rPr>
      </w:pPr>
      <w:r>
        <w:rPr>
          <w:rFonts w:ascii="Aptos" w:hAnsi="Aptos"/>
        </w:rPr>
        <w:t>President of NKOS</w:t>
      </w:r>
    </w:p>
    <w:p w14:paraId="59748332" w14:textId="4FFD7F57" w:rsidR="000C4E2A" w:rsidRPr="00447D20" w:rsidRDefault="000C4E2A" w:rsidP="008D2E84">
      <w:pPr>
        <w:spacing w:line="240" w:lineRule="auto"/>
        <w:jc w:val="both"/>
        <w:rPr>
          <w:rFonts w:ascii="Aptos" w:hAnsi="Aptos"/>
        </w:rPr>
      </w:pPr>
      <w:r>
        <w:rPr>
          <w:rFonts w:ascii="Aptos" w:hAnsi="Aptos"/>
        </w:rPr>
        <w:t>Trnava 19.6.2026</w:t>
      </w:r>
    </w:p>
    <w:sectPr w:rsidR="000C4E2A" w:rsidRPr="00447D20" w:rsidSect="008D2E84">
      <w:headerReference w:type="default" r:id="rId8"/>
      <w:pgSz w:w="11906" w:h="16838"/>
      <w:pgMar w:top="1417" w:right="1417"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385AF" w14:textId="77777777" w:rsidR="007503A4" w:rsidRDefault="007503A4" w:rsidP="00B64A9A">
      <w:pPr>
        <w:spacing w:after="0" w:line="240" w:lineRule="auto"/>
      </w:pPr>
      <w:r>
        <w:separator/>
      </w:r>
    </w:p>
  </w:endnote>
  <w:endnote w:type="continuationSeparator" w:id="0">
    <w:p w14:paraId="4D414641" w14:textId="77777777" w:rsidR="007503A4" w:rsidRDefault="007503A4" w:rsidP="00B64A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D574B" w14:textId="77777777" w:rsidR="007503A4" w:rsidRDefault="007503A4" w:rsidP="00B64A9A">
      <w:pPr>
        <w:spacing w:after="0" w:line="240" w:lineRule="auto"/>
      </w:pPr>
      <w:r>
        <w:separator/>
      </w:r>
    </w:p>
  </w:footnote>
  <w:footnote w:type="continuationSeparator" w:id="0">
    <w:p w14:paraId="5E624945" w14:textId="77777777" w:rsidR="007503A4" w:rsidRDefault="007503A4" w:rsidP="00B64A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2327F" w14:textId="13A41210" w:rsidR="00B64A9A" w:rsidRPr="00B64A9A" w:rsidRDefault="00B64A9A" w:rsidP="00B64A9A">
    <w:pPr>
      <w:pBdr>
        <w:bottom w:val="single" w:sz="4" w:space="0" w:color="auto"/>
      </w:pBdr>
      <w:spacing w:after="0" w:line="240" w:lineRule="auto"/>
      <w:jc w:val="center"/>
      <w:rPr>
        <w:rFonts w:ascii="Times New Roman" w:eastAsia="Times New Roman" w:hAnsi="Times New Roman" w:cs="Times New Roman"/>
        <w:b/>
        <w:caps/>
        <w:kern w:val="0"/>
        <w:lang w:eastAsia="sk-SK"/>
        <w14:ligatures w14:val="none"/>
      </w:rPr>
    </w:pPr>
    <w:r w:rsidRPr="00B64A9A">
      <w:rPr>
        <w:rFonts w:ascii="Times New Roman" w:eastAsia="Times New Roman" w:hAnsi="Times New Roman" w:cs="Times New Roman"/>
        <w:noProof/>
        <w:kern w:val="0"/>
        <w:lang w:eastAsia="sk-SK"/>
        <w14:ligatures w14:val="none"/>
      </w:rPr>
      <w:drawing>
        <wp:anchor distT="0" distB="0" distL="114300" distR="114300" simplePos="0" relativeHeight="251659264" behindDoc="0" locked="0" layoutInCell="1" allowOverlap="1" wp14:anchorId="1249D08B" wp14:editId="2023ACAC">
          <wp:simplePos x="0" y="0"/>
          <wp:positionH relativeFrom="column">
            <wp:posOffset>10795</wp:posOffset>
          </wp:positionH>
          <wp:positionV relativeFrom="paragraph">
            <wp:posOffset>-267335</wp:posOffset>
          </wp:positionV>
          <wp:extent cx="1139825" cy="556260"/>
          <wp:effectExtent l="0" t="0" r="3175" b="0"/>
          <wp:wrapNone/>
          <wp:docPr id="114464747" name="Obrázok 2" descr="Obrázok, na ktorom je text, ClipArt&#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Obrázok, na ktorom je text, ClipArt&#10;&#10;Automaticky generovaný pop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9825" cy="556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4A9A">
      <w:rPr>
        <w:rFonts w:ascii="Times New Roman" w:eastAsia="Times New Roman" w:hAnsi="Times New Roman" w:cs="Times New Roman"/>
        <w:kern w:val="0"/>
        <w:lang w:eastAsia="sk-SK"/>
        <w14:ligatures w14:val="none"/>
      </w:rPr>
      <w:t xml:space="preserve">                         </w:t>
    </w:r>
    <w:r w:rsidRPr="00B64A9A">
      <w:rPr>
        <w:rFonts w:ascii="Times New Roman" w:eastAsia="Times New Roman" w:hAnsi="Times New Roman" w:cs="Times New Roman"/>
        <w:b/>
        <w:caps/>
        <w:kern w:val="0"/>
        <w:lang w:eastAsia="sk-SK"/>
        <w14:ligatures w14:val="none"/>
      </w:rPr>
      <w:t>Nezávislé kresťanské odbory Slovenska</w:t>
    </w:r>
  </w:p>
  <w:p w14:paraId="7EE80F58" w14:textId="77777777" w:rsidR="00B64A9A" w:rsidRPr="00B64A9A" w:rsidRDefault="00B64A9A" w:rsidP="00B64A9A">
    <w:pPr>
      <w:pBdr>
        <w:bottom w:val="single" w:sz="4" w:space="0" w:color="auto"/>
      </w:pBdr>
      <w:spacing w:after="0" w:line="240" w:lineRule="auto"/>
      <w:jc w:val="right"/>
      <w:rPr>
        <w:rFonts w:ascii="Times New Roman" w:eastAsia="Times New Roman" w:hAnsi="Times New Roman" w:cs="Times New Roman"/>
        <w:b/>
        <w:caps/>
        <w:kern w:val="0"/>
        <w:lang w:eastAsia="sk-SK"/>
        <w14:ligatures w14:val="none"/>
      </w:rPr>
    </w:pPr>
    <w:r w:rsidRPr="00B64A9A">
      <w:rPr>
        <w:rFonts w:ascii="Times New Roman" w:eastAsia="Times New Roman" w:hAnsi="Times New Roman" w:cs="Times New Roman"/>
        <w:b/>
        <w:caps/>
        <w:kern w:val="0"/>
        <w:lang w:eastAsia="sk-SK"/>
        <w14:ligatures w14:val="none"/>
      </w:rPr>
      <w:t xml:space="preserve">Independent Christian Trade Union of </w:t>
    </w:r>
    <w:smartTag w:uri="urn:schemas-microsoft-com:office:smarttags" w:element="place">
      <w:smartTag w:uri="urn:schemas-microsoft-com:office:smarttags" w:element="country-region">
        <w:r w:rsidRPr="00B64A9A">
          <w:rPr>
            <w:rFonts w:ascii="Times New Roman" w:eastAsia="Times New Roman" w:hAnsi="Times New Roman" w:cs="Times New Roman"/>
            <w:b/>
            <w:caps/>
            <w:kern w:val="0"/>
            <w:lang w:eastAsia="sk-SK"/>
            <w14:ligatures w14:val="none"/>
          </w:rPr>
          <w:t>Slovakia</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06BB8"/>
    <w:multiLevelType w:val="hybridMultilevel"/>
    <w:tmpl w:val="8BAE1B6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36730CE5"/>
    <w:multiLevelType w:val="multilevel"/>
    <w:tmpl w:val="B68A5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3D2D50"/>
    <w:multiLevelType w:val="hybridMultilevel"/>
    <w:tmpl w:val="44BC368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233347798">
    <w:abstractNumId w:val="1"/>
  </w:num>
  <w:num w:numId="2" w16cid:durableId="2112386542">
    <w:abstractNumId w:val="0"/>
  </w:num>
  <w:num w:numId="3" w16cid:durableId="188259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20C"/>
    <w:rsid w:val="000463E6"/>
    <w:rsid w:val="000C4E2A"/>
    <w:rsid w:val="000E32A8"/>
    <w:rsid w:val="00126096"/>
    <w:rsid w:val="00152576"/>
    <w:rsid w:val="00173B7C"/>
    <w:rsid w:val="001A60DC"/>
    <w:rsid w:val="0022274B"/>
    <w:rsid w:val="00237C8C"/>
    <w:rsid w:val="00242D43"/>
    <w:rsid w:val="002E637F"/>
    <w:rsid w:val="0033709C"/>
    <w:rsid w:val="00361939"/>
    <w:rsid w:val="00447D20"/>
    <w:rsid w:val="00451780"/>
    <w:rsid w:val="00475A7E"/>
    <w:rsid w:val="00514F2F"/>
    <w:rsid w:val="00515E89"/>
    <w:rsid w:val="0054719F"/>
    <w:rsid w:val="0057420C"/>
    <w:rsid w:val="00590558"/>
    <w:rsid w:val="00694D82"/>
    <w:rsid w:val="007503A4"/>
    <w:rsid w:val="00763912"/>
    <w:rsid w:val="00853B7D"/>
    <w:rsid w:val="008D2E84"/>
    <w:rsid w:val="008F7187"/>
    <w:rsid w:val="00906C0F"/>
    <w:rsid w:val="00916417"/>
    <w:rsid w:val="00951D0E"/>
    <w:rsid w:val="00954E84"/>
    <w:rsid w:val="009641BA"/>
    <w:rsid w:val="00973998"/>
    <w:rsid w:val="00B5436D"/>
    <w:rsid w:val="00B64A9A"/>
    <w:rsid w:val="00C0453D"/>
    <w:rsid w:val="00D341AB"/>
    <w:rsid w:val="00D677C0"/>
    <w:rsid w:val="00DC4B2E"/>
    <w:rsid w:val="00DE64FF"/>
    <w:rsid w:val="00E56AC0"/>
    <w:rsid w:val="00EB399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3CC8FEDE"/>
  <w15:chartTrackingRefBased/>
  <w15:docId w15:val="{D3FF5F9A-7F85-47B2-A4F1-0F621475F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lang w:val="en-GB"/>
    </w:rPr>
  </w:style>
  <w:style w:type="paragraph" w:styleId="Nadpis1">
    <w:name w:val="heading 1"/>
    <w:basedOn w:val="Normlny"/>
    <w:next w:val="Normlny"/>
    <w:link w:val="Nadpis1Char"/>
    <w:uiPriority w:val="9"/>
    <w:qFormat/>
    <w:rsid w:val="005742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5742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57420C"/>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57420C"/>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57420C"/>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57420C"/>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57420C"/>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57420C"/>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57420C"/>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57420C"/>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57420C"/>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57420C"/>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57420C"/>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57420C"/>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57420C"/>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57420C"/>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57420C"/>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57420C"/>
    <w:rPr>
      <w:rFonts w:eastAsiaTheme="majorEastAsia" w:cstheme="majorBidi"/>
      <w:color w:val="272727" w:themeColor="text1" w:themeTint="D8"/>
    </w:rPr>
  </w:style>
  <w:style w:type="paragraph" w:styleId="Nzov">
    <w:name w:val="Title"/>
    <w:basedOn w:val="Normlny"/>
    <w:next w:val="Normlny"/>
    <w:link w:val="NzovChar"/>
    <w:uiPriority w:val="10"/>
    <w:qFormat/>
    <w:rsid w:val="005742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57420C"/>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57420C"/>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57420C"/>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57420C"/>
    <w:pPr>
      <w:spacing w:before="160"/>
      <w:jc w:val="center"/>
    </w:pPr>
    <w:rPr>
      <w:i/>
      <w:iCs/>
      <w:color w:val="404040" w:themeColor="text1" w:themeTint="BF"/>
    </w:rPr>
  </w:style>
  <w:style w:type="character" w:customStyle="1" w:styleId="CitciaChar">
    <w:name w:val="Citácia Char"/>
    <w:basedOn w:val="Predvolenpsmoodseku"/>
    <w:link w:val="Citcia"/>
    <w:uiPriority w:val="29"/>
    <w:rsid w:val="0057420C"/>
    <w:rPr>
      <w:i/>
      <w:iCs/>
      <w:color w:val="404040" w:themeColor="text1" w:themeTint="BF"/>
    </w:rPr>
  </w:style>
  <w:style w:type="paragraph" w:styleId="Odsekzoznamu">
    <w:name w:val="List Paragraph"/>
    <w:basedOn w:val="Normlny"/>
    <w:uiPriority w:val="34"/>
    <w:qFormat/>
    <w:rsid w:val="0057420C"/>
    <w:pPr>
      <w:ind w:left="720"/>
      <w:contextualSpacing/>
    </w:pPr>
  </w:style>
  <w:style w:type="character" w:styleId="Intenzvnezvraznenie">
    <w:name w:val="Intense Emphasis"/>
    <w:basedOn w:val="Predvolenpsmoodseku"/>
    <w:uiPriority w:val="21"/>
    <w:qFormat/>
    <w:rsid w:val="0057420C"/>
    <w:rPr>
      <w:i/>
      <w:iCs/>
      <w:color w:val="2F5496" w:themeColor="accent1" w:themeShade="BF"/>
    </w:rPr>
  </w:style>
  <w:style w:type="paragraph" w:styleId="Zvraznencitcia">
    <w:name w:val="Intense Quote"/>
    <w:basedOn w:val="Normlny"/>
    <w:next w:val="Normlny"/>
    <w:link w:val="ZvraznencitciaChar"/>
    <w:uiPriority w:val="30"/>
    <w:qFormat/>
    <w:rsid w:val="005742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57420C"/>
    <w:rPr>
      <w:i/>
      <w:iCs/>
      <w:color w:val="2F5496" w:themeColor="accent1" w:themeShade="BF"/>
    </w:rPr>
  </w:style>
  <w:style w:type="character" w:styleId="Zvraznenodkaz">
    <w:name w:val="Intense Reference"/>
    <w:basedOn w:val="Predvolenpsmoodseku"/>
    <w:uiPriority w:val="32"/>
    <w:qFormat/>
    <w:rsid w:val="0057420C"/>
    <w:rPr>
      <w:b/>
      <w:bCs/>
      <w:smallCaps/>
      <w:color w:val="2F5496" w:themeColor="accent1" w:themeShade="BF"/>
      <w:spacing w:val="5"/>
    </w:rPr>
  </w:style>
  <w:style w:type="paragraph" w:styleId="Hlavika">
    <w:name w:val="header"/>
    <w:basedOn w:val="Normlny"/>
    <w:link w:val="HlavikaChar"/>
    <w:uiPriority w:val="99"/>
    <w:unhideWhenUsed/>
    <w:rsid w:val="00B64A9A"/>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B64A9A"/>
    <w:rPr>
      <w:lang w:val="en-GB"/>
    </w:rPr>
  </w:style>
  <w:style w:type="paragraph" w:styleId="Pta">
    <w:name w:val="footer"/>
    <w:basedOn w:val="Normlny"/>
    <w:link w:val="PtaChar"/>
    <w:uiPriority w:val="99"/>
    <w:unhideWhenUsed/>
    <w:rsid w:val="00B64A9A"/>
    <w:pPr>
      <w:tabs>
        <w:tab w:val="center" w:pos="4536"/>
        <w:tab w:val="right" w:pos="9072"/>
      </w:tabs>
      <w:spacing w:after="0" w:line="240" w:lineRule="auto"/>
    </w:pPr>
  </w:style>
  <w:style w:type="character" w:customStyle="1" w:styleId="PtaChar">
    <w:name w:val="Päta Char"/>
    <w:basedOn w:val="Predvolenpsmoodseku"/>
    <w:link w:val="Pta"/>
    <w:uiPriority w:val="99"/>
    <w:rsid w:val="00B64A9A"/>
    <w:rPr>
      <w:lang w:val="en-GB"/>
    </w:rPr>
  </w:style>
  <w:style w:type="character" w:styleId="Hypertextovprepojenie">
    <w:name w:val="Hyperlink"/>
    <w:basedOn w:val="Predvolenpsmoodseku"/>
    <w:uiPriority w:val="99"/>
    <w:unhideWhenUsed/>
    <w:rsid w:val="00B64A9A"/>
    <w:rPr>
      <w:color w:val="0563C1" w:themeColor="hyperlink"/>
      <w:u w:val="single"/>
    </w:rPr>
  </w:style>
  <w:style w:type="character" w:styleId="Nevyrieenzmienka">
    <w:name w:val="Unresolved Mention"/>
    <w:basedOn w:val="Predvolenpsmoodseku"/>
    <w:uiPriority w:val="99"/>
    <w:semiHidden/>
    <w:unhideWhenUsed/>
    <w:rsid w:val="00B64A9A"/>
    <w:rPr>
      <w:color w:val="605E5C"/>
      <w:shd w:val="clear" w:color="auto" w:fill="E1DFDD"/>
    </w:rPr>
  </w:style>
  <w:style w:type="table" w:styleId="Mriekatabuky">
    <w:name w:val="Table Grid"/>
    <w:basedOn w:val="Normlnatabuka"/>
    <w:uiPriority w:val="39"/>
    <w:rsid w:val="008D2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kos.sk/2026/06/18/bezpecnost-a-ochrana-makkych-cielov-v-organizaciach-ako-naliehava-priorita-dnesnych-dn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4</Pages>
  <Words>1551</Words>
  <Characters>8845</Characters>
  <Application>Microsoft Office Word</Application>
  <DocSecurity>0</DocSecurity>
  <Lines>73</Lines>
  <Paragraphs>20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Ľubica Černá</dc:creator>
  <cp:keywords/>
  <dc:description/>
  <cp:lastModifiedBy>Ľubica Černá</cp:lastModifiedBy>
  <cp:revision>3</cp:revision>
  <dcterms:created xsi:type="dcterms:W3CDTF">2026-06-18T13:37:00Z</dcterms:created>
  <dcterms:modified xsi:type="dcterms:W3CDTF">2026-06-19T07:57:00Z</dcterms:modified>
</cp:coreProperties>
</file>